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91" w:rsidRPr="00841250" w:rsidRDefault="00E769CD">
      <w:pPr>
        <w:rPr>
          <w:b/>
        </w:rPr>
      </w:pPr>
      <w:r w:rsidRPr="00841250">
        <w:rPr>
          <w:b/>
        </w:rPr>
        <w:t xml:space="preserve">Required information </w:t>
      </w:r>
    </w:p>
    <w:p w:rsidR="00E769CD" w:rsidRPr="00841250" w:rsidRDefault="00E769CD"/>
    <w:p w:rsidR="00AD2BE2" w:rsidRPr="00841250" w:rsidRDefault="00AD2BE2" w:rsidP="00AD2BE2">
      <w:r w:rsidRPr="00841250">
        <w:t>Gillotts</w:t>
      </w:r>
      <w:r w:rsidR="00C9552F">
        <w:t xml:space="preserve"> School</w:t>
      </w:r>
    </w:p>
    <w:p w:rsidR="00AD2BE2" w:rsidRPr="00841250" w:rsidRDefault="00AD2BE2" w:rsidP="00AD2BE2">
      <w:r w:rsidRPr="00841250">
        <w:t>Gillotts Lane</w:t>
      </w:r>
    </w:p>
    <w:p w:rsidR="00AD2BE2" w:rsidRPr="00841250" w:rsidRDefault="00AD2BE2" w:rsidP="00AD2BE2">
      <w:r w:rsidRPr="00841250">
        <w:t>Henley-on-Thames</w:t>
      </w:r>
    </w:p>
    <w:p w:rsidR="00AD2BE2" w:rsidRPr="00841250" w:rsidRDefault="00AD2BE2" w:rsidP="00AD2BE2">
      <w:r w:rsidRPr="00841250">
        <w:t>Oxfordshire RG9 1PS</w:t>
      </w:r>
    </w:p>
    <w:p w:rsidR="00AD2BE2" w:rsidRPr="00841250" w:rsidRDefault="00AD2BE2" w:rsidP="00AD2BE2">
      <w:r w:rsidRPr="00841250">
        <w:t>01491 574315</w:t>
      </w:r>
    </w:p>
    <w:p w:rsidR="00AD2BE2" w:rsidRPr="00841250" w:rsidRDefault="00AD2BE2" w:rsidP="00AD2BE2"/>
    <w:p w:rsidR="00AD2BE2" w:rsidRDefault="00AD2BE2" w:rsidP="00AD2BE2">
      <w:r w:rsidRPr="00841250">
        <w:t xml:space="preserve">Enquiries should be addressed to Mrs </w:t>
      </w:r>
      <w:r>
        <w:t>M. McWhinnie, PA to the Headteacher</w:t>
      </w:r>
    </w:p>
    <w:p w:rsidR="00965C94" w:rsidRDefault="00965C94" w:rsidP="00AD2BE2"/>
    <w:p w:rsidR="00965C94" w:rsidRDefault="00965C94" w:rsidP="00AD2BE2">
      <w:r>
        <w:t>Headteacher: Ms Catharine Darnton</w:t>
      </w:r>
    </w:p>
    <w:p w:rsidR="00965C94" w:rsidRDefault="00965C94" w:rsidP="00AD2BE2">
      <w:r>
        <w:t>Chair of Governors: Mr David Gorsuch, who may be contacted through the Clerk to the Governors, Glynis Smith</w:t>
      </w:r>
      <w:r w:rsidR="00B329DE">
        <w:t xml:space="preserve"> </w:t>
      </w:r>
      <w:hyperlink r:id="rId7" w:history="1">
        <w:r w:rsidR="00B329DE" w:rsidRPr="00CC182D">
          <w:rPr>
            <w:rStyle w:val="Hyperlink"/>
          </w:rPr>
          <w:t>gsmith@gillotts.org.uk</w:t>
        </w:r>
      </w:hyperlink>
      <w:r>
        <w:t>, at the school</w:t>
      </w:r>
    </w:p>
    <w:p w:rsidR="00965C94" w:rsidRPr="00841250" w:rsidRDefault="00965C94" w:rsidP="00AD2BE2">
      <w:r>
        <w:t xml:space="preserve">SENCo: </w:t>
      </w:r>
      <w:r w:rsidR="00DB07CA">
        <w:t>Miss Claire Collyer</w:t>
      </w:r>
      <w:r w:rsidR="00B329DE">
        <w:t xml:space="preserve">, </w:t>
      </w:r>
      <w:hyperlink r:id="rId8" w:history="1">
        <w:r w:rsidR="00B329DE" w:rsidRPr="00CC182D">
          <w:rPr>
            <w:rStyle w:val="Hyperlink"/>
          </w:rPr>
          <w:t>ccollyer@gillotts.org.uk</w:t>
        </w:r>
      </w:hyperlink>
      <w:r w:rsidR="00B329DE">
        <w:t xml:space="preserve"> </w:t>
      </w:r>
    </w:p>
    <w:p w:rsidR="00AD2BE2" w:rsidRDefault="00AD2BE2" w:rsidP="00AD2BE2"/>
    <w:p w:rsidR="00965C94" w:rsidRDefault="00965C94" w:rsidP="00AD2BE2">
      <w:r w:rsidRPr="00965C94">
        <w:t>Gillotts School is a registered company limited by guarantee</w:t>
      </w:r>
      <w:r>
        <w:t xml:space="preserve"> - </w:t>
      </w:r>
      <w:r w:rsidRPr="00965C94">
        <w:t>Company registration number 07954417</w:t>
      </w:r>
      <w:r>
        <w:t xml:space="preserve"> - </w:t>
      </w:r>
      <w:r w:rsidRPr="00965C94">
        <w:t>Registered address: Gillotts Lane, Henley-on-Thames, Oxon RG9 1PS</w:t>
      </w:r>
    </w:p>
    <w:p w:rsidR="00965C94" w:rsidRPr="00841250" w:rsidRDefault="00965C94" w:rsidP="00AD2BE2"/>
    <w:p w:rsidR="00AD2BE2" w:rsidRPr="00841250" w:rsidRDefault="00AD2BE2" w:rsidP="00AD2BE2">
      <w:pPr>
        <w:jc w:val="center"/>
        <w:rPr>
          <w:i/>
        </w:rPr>
      </w:pPr>
      <w:r w:rsidRPr="00841250">
        <w:rPr>
          <w:i/>
        </w:rPr>
        <w:t>Non nobis solum – Not by ourselves alone</w:t>
      </w:r>
    </w:p>
    <w:p w:rsidR="00AD2BE2" w:rsidRPr="00841250" w:rsidRDefault="00AD2BE2" w:rsidP="00AD2BE2"/>
    <w:p w:rsidR="00AA45DC" w:rsidRDefault="00AA45DC" w:rsidP="00AA45DC">
      <w:r w:rsidRPr="00291F6E">
        <w:t>Gillotts is a high performing</w:t>
      </w:r>
      <w:r>
        <w:t>, innovative school where every student is valued as an individual, and is supported and encouraged to achieve their potential.  We pride ourselves on being inclusive of all, developing academic achievers and individuals who make a positive contribution to society now and in their future lives.</w:t>
      </w:r>
    </w:p>
    <w:p w:rsidR="00AD2BE2" w:rsidRPr="00841250" w:rsidRDefault="00AD2BE2" w:rsidP="00AD2BE2"/>
    <w:p w:rsidR="00AD2BE2" w:rsidRDefault="00AD2BE2" w:rsidP="00AD2BE2">
      <w:r w:rsidRPr="00841250">
        <w:t xml:space="preserve">The school’s </w:t>
      </w:r>
      <w:r>
        <w:t xml:space="preserve">policies can all be accessed from the home page of our website </w:t>
      </w:r>
      <w:hyperlink r:id="rId9" w:history="1">
        <w:r w:rsidR="00E12448" w:rsidRPr="000C0D85">
          <w:rPr>
            <w:rStyle w:val="Hyperlink"/>
          </w:rPr>
          <w:t>www.gillotts.org.uk</w:t>
        </w:r>
      </w:hyperlink>
      <w:r>
        <w:t>:</w:t>
      </w:r>
    </w:p>
    <w:p w:rsidR="00AD2BE2" w:rsidRDefault="00AD2BE2" w:rsidP="00AD2BE2">
      <w:pPr>
        <w:pStyle w:val="ListParagraph"/>
        <w:numPr>
          <w:ilvl w:val="0"/>
          <w:numId w:val="6"/>
        </w:numPr>
      </w:pPr>
      <w:r w:rsidRPr="008C1797">
        <w:rPr>
          <w:b/>
        </w:rPr>
        <w:t>Behaviour for Learning Policy</w:t>
      </w:r>
      <w:r>
        <w:t xml:space="preserve"> </w:t>
      </w:r>
    </w:p>
    <w:p w:rsidR="00B329DE" w:rsidRPr="00B329DE" w:rsidRDefault="00B329DE" w:rsidP="00AD2BE2">
      <w:pPr>
        <w:pStyle w:val="ListParagraph"/>
        <w:numPr>
          <w:ilvl w:val="0"/>
          <w:numId w:val="6"/>
        </w:numPr>
        <w:rPr>
          <w:b/>
        </w:rPr>
      </w:pPr>
      <w:r w:rsidRPr="00B329DE">
        <w:rPr>
          <w:b/>
        </w:rPr>
        <w:t>Anti-bullying Policy</w:t>
      </w:r>
    </w:p>
    <w:p w:rsidR="00AD2BE2" w:rsidRPr="008C1797" w:rsidRDefault="00AD2BE2" w:rsidP="00AD2BE2">
      <w:pPr>
        <w:pStyle w:val="ListParagraph"/>
        <w:numPr>
          <w:ilvl w:val="0"/>
          <w:numId w:val="6"/>
        </w:numPr>
        <w:rPr>
          <w:b/>
        </w:rPr>
      </w:pPr>
      <w:r w:rsidRPr="008C1797">
        <w:rPr>
          <w:b/>
        </w:rPr>
        <w:t>Admissions Policy</w:t>
      </w:r>
    </w:p>
    <w:p w:rsidR="00AD2BE2" w:rsidRPr="00841250" w:rsidRDefault="00AD2BE2" w:rsidP="00AD2BE2">
      <w:pPr>
        <w:pStyle w:val="ListParagraph"/>
        <w:numPr>
          <w:ilvl w:val="0"/>
          <w:numId w:val="6"/>
        </w:numPr>
      </w:pPr>
      <w:r w:rsidRPr="008C1797">
        <w:rPr>
          <w:b/>
        </w:rPr>
        <w:t xml:space="preserve">Curriculum Policy </w:t>
      </w:r>
      <w:r w:rsidRPr="008C1797">
        <w:t>– this</w:t>
      </w:r>
      <w:r w:rsidRPr="008C1797">
        <w:rPr>
          <w:b/>
        </w:rPr>
        <w:t xml:space="preserve"> </w:t>
      </w:r>
      <w:r w:rsidRPr="00841250">
        <w:t>includes the list of courses running at KS4 along with the qualifications they lead to</w:t>
      </w:r>
    </w:p>
    <w:p w:rsidR="00AD2BE2" w:rsidRPr="008C1797" w:rsidRDefault="00AD2BE2" w:rsidP="00AD2BE2">
      <w:pPr>
        <w:pStyle w:val="ListParagraph"/>
        <w:numPr>
          <w:ilvl w:val="0"/>
          <w:numId w:val="6"/>
        </w:numPr>
        <w:rPr>
          <w:b/>
        </w:rPr>
      </w:pPr>
      <w:r w:rsidRPr="008C1797">
        <w:rPr>
          <w:b/>
        </w:rPr>
        <w:t>Special Educational Needs Policy</w:t>
      </w:r>
    </w:p>
    <w:p w:rsidR="00AD2BE2" w:rsidRDefault="00AD2BE2" w:rsidP="00AD2BE2">
      <w:pPr>
        <w:pStyle w:val="ListParagraph"/>
        <w:numPr>
          <w:ilvl w:val="0"/>
          <w:numId w:val="6"/>
        </w:numPr>
        <w:rPr>
          <w:b/>
        </w:rPr>
      </w:pPr>
      <w:r w:rsidRPr="008C1797">
        <w:rPr>
          <w:b/>
        </w:rPr>
        <w:t>Access Plan</w:t>
      </w:r>
    </w:p>
    <w:p w:rsidR="00965C94" w:rsidRDefault="00965C94" w:rsidP="00AD2BE2">
      <w:pPr>
        <w:pStyle w:val="ListParagraph"/>
        <w:numPr>
          <w:ilvl w:val="0"/>
          <w:numId w:val="6"/>
        </w:numPr>
        <w:rPr>
          <w:b/>
        </w:rPr>
      </w:pPr>
      <w:r>
        <w:rPr>
          <w:b/>
        </w:rPr>
        <w:t xml:space="preserve">Equality Duty </w:t>
      </w:r>
      <w:r w:rsidRPr="00965C94">
        <w:t>and</w:t>
      </w:r>
      <w:r>
        <w:rPr>
          <w:b/>
        </w:rPr>
        <w:t xml:space="preserve"> Objectives</w:t>
      </w:r>
    </w:p>
    <w:p w:rsidR="00AD2BE2" w:rsidRDefault="00AD2BE2" w:rsidP="00AD2BE2">
      <w:pPr>
        <w:pStyle w:val="ListParagraph"/>
        <w:numPr>
          <w:ilvl w:val="0"/>
          <w:numId w:val="6"/>
        </w:numPr>
        <w:rPr>
          <w:b/>
        </w:rPr>
      </w:pPr>
      <w:r>
        <w:rPr>
          <w:b/>
        </w:rPr>
        <w:t>Charging and Remissions Policy</w:t>
      </w:r>
    </w:p>
    <w:p w:rsidR="00965C94" w:rsidRPr="008C1797" w:rsidRDefault="00965C94" w:rsidP="00AD2BE2">
      <w:pPr>
        <w:pStyle w:val="ListParagraph"/>
        <w:numPr>
          <w:ilvl w:val="0"/>
          <w:numId w:val="6"/>
        </w:numPr>
        <w:rPr>
          <w:b/>
        </w:rPr>
      </w:pPr>
      <w:r>
        <w:rPr>
          <w:b/>
        </w:rPr>
        <w:t>Complaints Policy</w:t>
      </w:r>
    </w:p>
    <w:p w:rsidR="00AD2BE2" w:rsidRPr="00841250" w:rsidRDefault="00AD2BE2" w:rsidP="00AD2BE2"/>
    <w:p w:rsidR="00AD2BE2" w:rsidRPr="00841250" w:rsidRDefault="00AD2BE2" w:rsidP="00AD2BE2">
      <w:r w:rsidRPr="00841250">
        <w:t xml:space="preserve">The school’s most recent </w:t>
      </w:r>
      <w:r w:rsidRPr="00841250">
        <w:rPr>
          <w:b/>
        </w:rPr>
        <w:t>Ofsted report</w:t>
      </w:r>
      <w:r w:rsidRPr="00841250">
        <w:t xml:space="preserve"> </w:t>
      </w:r>
      <w:r>
        <w:t xml:space="preserve">accessed from the home page of our website </w:t>
      </w:r>
      <w:hyperlink r:id="rId10" w:history="1">
        <w:r w:rsidR="00E12448" w:rsidRPr="00476565">
          <w:rPr>
            <w:rStyle w:val="Hyperlink"/>
          </w:rPr>
          <w:t>www.gillotts.</w:t>
        </w:r>
        <w:r w:rsidR="00E12448">
          <w:rPr>
            <w:rStyle w:val="Hyperlink"/>
          </w:rPr>
          <w:t>org</w:t>
        </w:r>
        <w:r w:rsidR="00E12448" w:rsidRPr="00476565">
          <w:rPr>
            <w:rStyle w:val="Hyperlink"/>
          </w:rPr>
          <w:t>.uk</w:t>
        </w:r>
      </w:hyperlink>
      <w:r w:rsidRPr="00841250">
        <w:t>.</w:t>
      </w:r>
    </w:p>
    <w:p w:rsidR="00AD2BE2" w:rsidRPr="00841250" w:rsidRDefault="00AD2BE2" w:rsidP="00AD2BE2"/>
    <w:p w:rsidR="00976301" w:rsidRDefault="00AD2BE2" w:rsidP="00AD2BE2">
      <w:r w:rsidRPr="00841250">
        <w:t>The 201</w:t>
      </w:r>
      <w:r w:rsidR="002051A2">
        <w:t>8</w:t>
      </w:r>
      <w:r w:rsidRPr="00841250">
        <w:t xml:space="preserve"> Key Stage 4 results are at </w:t>
      </w:r>
      <w:r>
        <w:br/>
      </w:r>
      <w:hyperlink r:id="rId11" w:history="1">
        <w:r w:rsidR="00976301" w:rsidRPr="001968E3">
          <w:rPr>
            <w:rStyle w:val="Hyperlink"/>
          </w:rPr>
          <w:t>https://www.compare-school-performance.service.gov.uk/</w:t>
        </w:r>
      </w:hyperlink>
    </w:p>
    <w:p w:rsidR="00EF2151" w:rsidRPr="002051A2" w:rsidRDefault="002051A2" w:rsidP="00AD2BE2">
      <w:r w:rsidRPr="002051A2">
        <w:t>In 2018</w:t>
      </w:r>
      <w:r w:rsidR="00EF2151" w:rsidRPr="002051A2">
        <w:t>:</w:t>
      </w:r>
    </w:p>
    <w:p w:rsidR="00E80F24" w:rsidRPr="002051A2" w:rsidRDefault="00B329DE" w:rsidP="00E80F24">
      <w:pPr>
        <w:pStyle w:val="ListParagraph"/>
        <w:numPr>
          <w:ilvl w:val="0"/>
          <w:numId w:val="10"/>
        </w:numPr>
      </w:pPr>
      <w:r>
        <w:t>The Progress 8</w:t>
      </w:r>
      <w:r w:rsidR="002051A2" w:rsidRPr="002051A2">
        <w:t xml:space="preserve"> score </w:t>
      </w:r>
      <w:r w:rsidR="00B53785">
        <w:t>was</w:t>
      </w:r>
      <w:r w:rsidR="002051A2" w:rsidRPr="002051A2">
        <w:t xml:space="preserve"> 0.36</w:t>
      </w:r>
      <w:r w:rsidR="00E80F24" w:rsidRPr="002051A2">
        <w:t xml:space="preserve"> which is </w:t>
      </w:r>
      <w:r w:rsidR="002051A2" w:rsidRPr="002051A2">
        <w:t xml:space="preserve">significantly </w:t>
      </w:r>
      <w:r w:rsidR="00E80F24" w:rsidRPr="002051A2">
        <w:t>above average</w:t>
      </w:r>
    </w:p>
    <w:p w:rsidR="00E80F24" w:rsidRDefault="002051A2" w:rsidP="00E80F24">
      <w:pPr>
        <w:pStyle w:val="ListParagraph"/>
        <w:numPr>
          <w:ilvl w:val="0"/>
          <w:numId w:val="10"/>
        </w:numPr>
      </w:pPr>
      <w:r w:rsidRPr="002051A2">
        <w:t>Attainment 8 score was 52</w:t>
      </w:r>
      <w:r w:rsidR="00E80F24" w:rsidRPr="002051A2">
        <w:t>, mea</w:t>
      </w:r>
      <w:r w:rsidRPr="002051A2">
        <w:t>ning students achieved grade 5.2</w:t>
      </w:r>
      <w:r w:rsidR="00E80F24" w:rsidRPr="002051A2">
        <w:t xml:space="preserve"> on average</w:t>
      </w:r>
    </w:p>
    <w:p w:rsidR="00B329DE" w:rsidRPr="002051A2" w:rsidRDefault="00B329DE" w:rsidP="00B329DE">
      <w:pPr>
        <w:pStyle w:val="ListParagraph"/>
        <w:numPr>
          <w:ilvl w:val="0"/>
          <w:numId w:val="10"/>
        </w:numPr>
      </w:pPr>
      <w:r w:rsidRPr="002051A2">
        <w:t>57% of students achieved grade 5+ in both English and mathematics</w:t>
      </w:r>
    </w:p>
    <w:p w:rsidR="00B329DE" w:rsidRDefault="00B329DE" w:rsidP="00E80F24">
      <w:pPr>
        <w:pStyle w:val="ListParagraph"/>
        <w:numPr>
          <w:ilvl w:val="0"/>
          <w:numId w:val="10"/>
        </w:numPr>
      </w:pPr>
      <w:r>
        <w:t>53% of students entered for the English Baccalaureate</w:t>
      </w:r>
    </w:p>
    <w:p w:rsidR="00B329DE" w:rsidRPr="002051A2" w:rsidRDefault="00B329DE" w:rsidP="00B329DE">
      <w:pPr>
        <w:pStyle w:val="ListParagraph"/>
        <w:numPr>
          <w:ilvl w:val="0"/>
          <w:numId w:val="10"/>
        </w:numPr>
      </w:pPr>
      <w:r>
        <w:t>The average point score on the</w:t>
      </w:r>
      <w:r w:rsidRPr="002051A2">
        <w:t xml:space="preserve"> English Baccalaureate </w:t>
      </w:r>
      <w:r>
        <w:t>was 4.68</w:t>
      </w:r>
    </w:p>
    <w:p w:rsidR="00B329DE" w:rsidRPr="002051A2" w:rsidRDefault="00B329DE" w:rsidP="00E80F24">
      <w:pPr>
        <w:pStyle w:val="ListParagraph"/>
        <w:numPr>
          <w:ilvl w:val="0"/>
          <w:numId w:val="10"/>
        </w:numPr>
      </w:pPr>
      <w:r>
        <w:t>93% of students stayed in education or entered employment</w:t>
      </w:r>
    </w:p>
    <w:p w:rsidR="00E80F24" w:rsidRPr="00841250" w:rsidRDefault="00E80F24" w:rsidP="00AD2BE2"/>
    <w:p w:rsidR="00AD2BE2" w:rsidRPr="00841250" w:rsidRDefault="00AD2BE2" w:rsidP="00AD2BE2">
      <w:r w:rsidRPr="002676AB">
        <w:t xml:space="preserve">The </w:t>
      </w:r>
      <w:r w:rsidRPr="002676AB">
        <w:rPr>
          <w:b/>
        </w:rPr>
        <w:t>content of the curriculum</w:t>
      </w:r>
      <w:r w:rsidRPr="002676AB">
        <w:t xml:space="preserve"> for each subject at key stage 3 can be accessed from the home page of our</w:t>
      </w:r>
      <w:r>
        <w:t xml:space="preserve"> website </w:t>
      </w:r>
      <w:hyperlink r:id="rId12" w:history="1">
        <w:r w:rsidR="00E12448" w:rsidRPr="00476565">
          <w:rPr>
            <w:rStyle w:val="Hyperlink"/>
          </w:rPr>
          <w:t>www.gillotts.</w:t>
        </w:r>
        <w:r w:rsidR="00E12448">
          <w:rPr>
            <w:rStyle w:val="Hyperlink"/>
          </w:rPr>
          <w:t>org</w:t>
        </w:r>
        <w:r w:rsidR="00E12448" w:rsidRPr="00476565">
          <w:rPr>
            <w:rStyle w:val="Hyperlink"/>
          </w:rPr>
          <w:t>.uk</w:t>
        </w:r>
      </w:hyperlink>
      <w:r w:rsidRPr="00AA45DC">
        <w:t>.</w:t>
      </w:r>
      <w:r w:rsidRPr="00841250">
        <w:t xml:space="preserve">  Further information can be obtained from Dr E.J.Newbold, Deputy Headteacher.</w:t>
      </w:r>
    </w:p>
    <w:p w:rsidR="00AD2BE2" w:rsidRPr="00841250" w:rsidRDefault="00AD2BE2" w:rsidP="00AD2BE2"/>
    <w:p w:rsidR="00AD2BE2" w:rsidRDefault="00AD2BE2" w:rsidP="00AD2BE2">
      <w:r>
        <w:t xml:space="preserve">An annual report on SEN, disability and equality is included in the Annual Report to Parents, which can be accessed from the Governors page of our website </w:t>
      </w:r>
      <w:hyperlink r:id="rId13" w:history="1">
        <w:r w:rsidR="00E12448" w:rsidRPr="00476565">
          <w:rPr>
            <w:rStyle w:val="Hyperlink"/>
          </w:rPr>
          <w:t>www.gillotts.</w:t>
        </w:r>
        <w:r w:rsidR="00E12448">
          <w:rPr>
            <w:rStyle w:val="Hyperlink"/>
          </w:rPr>
          <w:t>org</w:t>
        </w:r>
        <w:r w:rsidR="00E12448" w:rsidRPr="00476565">
          <w:rPr>
            <w:rStyle w:val="Hyperlink"/>
          </w:rPr>
          <w:t>.uk</w:t>
        </w:r>
      </w:hyperlink>
      <w:r>
        <w:t>.</w:t>
      </w:r>
    </w:p>
    <w:p w:rsidR="00AD2BE2" w:rsidRDefault="00AD2BE2" w:rsidP="00AD2BE2"/>
    <w:p w:rsidR="00B329DE" w:rsidRDefault="00B329DE" w:rsidP="00AD2BE2">
      <w:r>
        <w:t>The Pupil Premium strategy is subject to ongoing review but is formally reviewed by the Governing Body each December.</w:t>
      </w:r>
    </w:p>
    <w:p w:rsidR="00AD2BE2" w:rsidRDefault="00AD2BE2" w:rsidP="00AD2BE2"/>
    <w:p w:rsidR="0028340A" w:rsidRDefault="0028340A">
      <w:pPr>
        <w:sectPr w:rsidR="0028340A" w:rsidSect="002A1C19">
          <w:footerReference w:type="default" r:id="rId14"/>
          <w:pgSz w:w="11906" w:h="16838"/>
          <w:pgMar w:top="851" w:right="851" w:bottom="1077" w:left="851" w:header="709" w:footer="709" w:gutter="0"/>
          <w:cols w:space="708"/>
          <w:docGrid w:linePitch="360"/>
        </w:sectPr>
      </w:pPr>
    </w:p>
    <w:p w:rsidR="007D7C04" w:rsidRPr="00841250" w:rsidRDefault="007D7C04">
      <w:pPr>
        <w:rPr>
          <w:b/>
        </w:rPr>
      </w:pPr>
      <w:r w:rsidRPr="00841250">
        <w:rPr>
          <w:b/>
        </w:rPr>
        <w:lastRenderedPageBreak/>
        <w:t>Pupil Premium</w:t>
      </w:r>
      <w:bookmarkStart w:id="0" w:name="_GoBack"/>
      <w:bookmarkEnd w:id="0"/>
    </w:p>
    <w:p w:rsidR="007D7C04" w:rsidRDefault="007D7C04"/>
    <w:p w:rsidR="000F7609" w:rsidRPr="005C0306" w:rsidRDefault="000F7609" w:rsidP="000F7609">
      <w:pPr>
        <w:rPr>
          <w:u w:val="single"/>
        </w:rPr>
      </w:pPr>
      <w:r w:rsidRPr="005C0306">
        <w:rPr>
          <w:u w:val="single"/>
        </w:rPr>
        <w:t>Academic</w:t>
      </w:r>
      <w:r>
        <w:rPr>
          <w:u w:val="single"/>
        </w:rPr>
        <w:t xml:space="preserve"> Year 2018-19</w:t>
      </w:r>
    </w:p>
    <w:p w:rsidR="000F7609" w:rsidRPr="00735B90" w:rsidRDefault="000F7609" w:rsidP="000F7609">
      <w:pPr>
        <w:rPr>
          <w:rFonts w:ascii="Arial" w:hAnsi="Arial" w:cs="Arial"/>
          <w:sz w:val="19"/>
          <w:szCs w:val="19"/>
          <w:shd w:val="clear" w:color="auto" w:fill="FFFFFF"/>
        </w:rPr>
      </w:pPr>
      <w:r w:rsidRPr="005C0306">
        <w:t xml:space="preserve">Allocation: </w:t>
      </w:r>
      <w:r w:rsidR="00735B90">
        <w:t>£69,190</w:t>
      </w:r>
      <w:r w:rsidR="009741ED" w:rsidRPr="00FA372C">
        <w:t xml:space="preserve"> </w:t>
      </w:r>
      <w:r w:rsidRPr="00FA372C">
        <w:t>(</w:t>
      </w:r>
      <w:r>
        <w:t xml:space="preserve">for 01 April 18 – 31 Mar </w:t>
      </w:r>
      <w:r w:rsidRPr="00735B90">
        <w:t>19)</w:t>
      </w:r>
    </w:p>
    <w:p w:rsidR="000F7609" w:rsidRPr="00937F3C" w:rsidRDefault="000F7609" w:rsidP="000F7609">
      <w:r w:rsidRPr="00937F3C">
        <w:t xml:space="preserve">Spending: </w:t>
      </w:r>
      <w:r w:rsidR="00937F3C" w:rsidRPr="00937F3C">
        <w:t>£124</w:t>
      </w:r>
      <w:r w:rsidRPr="00937F3C">
        <w:t>,</w:t>
      </w:r>
      <w:r w:rsidR="00937F3C" w:rsidRPr="00937F3C">
        <w:t>337</w:t>
      </w:r>
    </w:p>
    <w:tbl>
      <w:tblPr>
        <w:tblStyle w:val="TableGrid"/>
        <w:tblW w:w="0" w:type="auto"/>
        <w:tblLook w:val="04A0" w:firstRow="1" w:lastRow="0" w:firstColumn="1" w:lastColumn="0" w:noHBand="0" w:noVBand="1"/>
      </w:tblPr>
      <w:tblGrid>
        <w:gridCol w:w="3473"/>
        <w:gridCol w:w="3473"/>
        <w:gridCol w:w="4857"/>
        <w:gridCol w:w="2090"/>
      </w:tblGrid>
      <w:tr w:rsidR="000F7609" w:rsidRPr="005C0306" w:rsidTr="004F13F3">
        <w:trPr>
          <w:cantSplit/>
          <w:tblHeader/>
        </w:trPr>
        <w:tc>
          <w:tcPr>
            <w:tcW w:w="3473" w:type="dxa"/>
          </w:tcPr>
          <w:p w:rsidR="000F7609" w:rsidRPr="005C0306" w:rsidRDefault="000F7609" w:rsidP="004F13F3">
            <w:pPr>
              <w:rPr>
                <w:b/>
              </w:rPr>
            </w:pPr>
            <w:r>
              <w:rPr>
                <w:b/>
              </w:rPr>
              <w:t>Outcome</w:t>
            </w:r>
          </w:p>
        </w:tc>
        <w:tc>
          <w:tcPr>
            <w:tcW w:w="3473" w:type="dxa"/>
          </w:tcPr>
          <w:p w:rsidR="000F7609" w:rsidRPr="005C0306" w:rsidRDefault="000F7609" w:rsidP="004F13F3">
            <w:pPr>
              <w:rPr>
                <w:b/>
              </w:rPr>
            </w:pPr>
            <w:r w:rsidRPr="005C0306">
              <w:rPr>
                <w:b/>
              </w:rPr>
              <w:t>Activity</w:t>
            </w:r>
          </w:p>
        </w:tc>
        <w:tc>
          <w:tcPr>
            <w:tcW w:w="4857" w:type="dxa"/>
          </w:tcPr>
          <w:p w:rsidR="000F7609" w:rsidRPr="005C0306" w:rsidRDefault="000F7609" w:rsidP="004F13F3">
            <w:pPr>
              <w:rPr>
                <w:b/>
              </w:rPr>
            </w:pPr>
            <w:r w:rsidRPr="005C0306">
              <w:rPr>
                <w:b/>
              </w:rPr>
              <w:t>Description</w:t>
            </w:r>
          </w:p>
        </w:tc>
        <w:tc>
          <w:tcPr>
            <w:tcW w:w="2090" w:type="dxa"/>
          </w:tcPr>
          <w:p w:rsidR="000F7609" w:rsidRPr="005C0306" w:rsidRDefault="000F7609" w:rsidP="004F13F3">
            <w:pPr>
              <w:rPr>
                <w:b/>
              </w:rPr>
            </w:pPr>
            <w:r w:rsidRPr="005C0306">
              <w:rPr>
                <w:b/>
              </w:rPr>
              <w:t>Cost</w:t>
            </w:r>
          </w:p>
        </w:tc>
      </w:tr>
      <w:tr w:rsidR="000F7609" w:rsidRPr="005C0306" w:rsidTr="004F13F3">
        <w:trPr>
          <w:cantSplit/>
        </w:trPr>
        <w:tc>
          <w:tcPr>
            <w:tcW w:w="3473" w:type="dxa"/>
          </w:tcPr>
          <w:p w:rsidR="000F7609" w:rsidRDefault="000F7609" w:rsidP="004F13F3">
            <w:r>
              <w:t>Improve the progress of disadvantaged students in English and mathematics so that it is as good as all other students nationally</w:t>
            </w:r>
          </w:p>
        </w:tc>
        <w:tc>
          <w:tcPr>
            <w:tcW w:w="3473" w:type="dxa"/>
          </w:tcPr>
          <w:p w:rsidR="000F7609" w:rsidRPr="005C0306" w:rsidRDefault="000F7609" w:rsidP="004F13F3">
            <w:r>
              <w:t>English and mathematics intervention – Years 7-9</w:t>
            </w:r>
          </w:p>
        </w:tc>
        <w:tc>
          <w:tcPr>
            <w:tcW w:w="4857" w:type="dxa"/>
          </w:tcPr>
          <w:p w:rsidR="000F7609" w:rsidRPr="005C0306" w:rsidRDefault="000F7609" w:rsidP="004F13F3">
            <w:r>
              <w:t xml:space="preserve">This is led by the English and mathematics Subject Leaders and delivered by the Senior Learning Support Assistants (Literacy and Numeracy), in lessons and through small group withdrawal.  The programme is focussed on </w:t>
            </w:r>
            <w:r w:rsidRPr="005C0306">
              <w:t>students who made less progress than expected at primary school in English and mathematics</w:t>
            </w:r>
            <w:r>
              <w:t xml:space="preserve"> and on those eligible for Pupil Premium.</w:t>
            </w:r>
          </w:p>
        </w:tc>
        <w:tc>
          <w:tcPr>
            <w:tcW w:w="2090" w:type="dxa"/>
          </w:tcPr>
          <w:p w:rsidR="000F7609" w:rsidRPr="00624239" w:rsidRDefault="00624239" w:rsidP="004F13F3">
            <w:r w:rsidRPr="00624239">
              <w:t>(£7461 tbc (Feb 19</w:t>
            </w:r>
            <w:r w:rsidR="000F7609" w:rsidRPr="00624239">
              <w:t>)</w:t>
            </w:r>
          </w:p>
          <w:p w:rsidR="000F7609" w:rsidRPr="00624239" w:rsidRDefault="000F7609" w:rsidP="004F13F3">
            <w:r w:rsidRPr="00624239">
              <w:t>Y7 Catch-up Premium)</w:t>
            </w:r>
          </w:p>
        </w:tc>
      </w:tr>
      <w:tr w:rsidR="000F7609" w:rsidRPr="005C0306" w:rsidTr="004F13F3">
        <w:trPr>
          <w:cantSplit/>
        </w:trPr>
        <w:tc>
          <w:tcPr>
            <w:tcW w:w="3473" w:type="dxa"/>
          </w:tcPr>
          <w:p w:rsidR="000F7609" w:rsidRDefault="000F7609" w:rsidP="004F13F3">
            <w:r>
              <w:t>Improve the progress of disadvantaged students in English and mathematics so that it is as good as all other students nationally</w:t>
            </w:r>
          </w:p>
        </w:tc>
        <w:tc>
          <w:tcPr>
            <w:tcW w:w="3473" w:type="dxa"/>
          </w:tcPr>
          <w:p w:rsidR="000F7609" w:rsidRPr="005C0306" w:rsidRDefault="000F7609" w:rsidP="004F13F3">
            <w:r>
              <w:t>English and mathematics intervention - GCSE</w:t>
            </w:r>
          </w:p>
        </w:tc>
        <w:tc>
          <w:tcPr>
            <w:tcW w:w="4857" w:type="dxa"/>
          </w:tcPr>
          <w:p w:rsidR="000F7609" w:rsidRPr="005C0306" w:rsidRDefault="000F7609" w:rsidP="004F13F3">
            <w:r>
              <w:t>Students are able to opt for additional English and mathematics as one of their option choices.  Students whom data suggested would benefit for this, with a particular focus on those eligible for Pupil Premium, received targeted information through the options process.</w:t>
            </w:r>
          </w:p>
        </w:tc>
        <w:tc>
          <w:tcPr>
            <w:tcW w:w="2090" w:type="dxa"/>
          </w:tcPr>
          <w:p w:rsidR="000F7609" w:rsidRDefault="00937F3C" w:rsidP="004F13F3">
            <w:r>
              <w:t>£20,000</w:t>
            </w:r>
          </w:p>
          <w:p w:rsidR="000F7609" w:rsidRPr="00FA372C" w:rsidRDefault="000F7609" w:rsidP="000F7609">
            <w:r>
              <w:t>(two groups in Y10, two groups in Y11)</w:t>
            </w:r>
          </w:p>
        </w:tc>
      </w:tr>
      <w:tr w:rsidR="000F7609" w:rsidRPr="00624239" w:rsidTr="004F13F3">
        <w:trPr>
          <w:cantSplit/>
        </w:trPr>
        <w:tc>
          <w:tcPr>
            <w:tcW w:w="3473" w:type="dxa"/>
          </w:tcPr>
          <w:p w:rsidR="000F7609" w:rsidRPr="00624239" w:rsidRDefault="000F7609" w:rsidP="004F13F3">
            <w:r w:rsidRPr="00624239">
              <w:t>Improve the progress of disadvantaged students so it is as good as all other students nationally</w:t>
            </w:r>
          </w:p>
        </w:tc>
        <w:tc>
          <w:tcPr>
            <w:tcW w:w="3473" w:type="dxa"/>
          </w:tcPr>
          <w:p w:rsidR="000F7609" w:rsidRPr="00624239" w:rsidRDefault="000F7609" w:rsidP="004F13F3">
            <w:r w:rsidRPr="00624239">
              <w:t>Alternative Curriculum</w:t>
            </w:r>
          </w:p>
        </w:tc>
        <w:tc>
          <w:tcPr>
            <w:tcW w:w="4857" w:type="dxa"/>
          </w:tcPr>
          <w:p w:rsidR="000F7609" w:rsidRPr="00624239" w:rsidRDefault="000F7609" w:rsidP="004F13F3">
            <w:r w:rsidRPr="00624239">
              <w:t>In order to support engagement and hence progress and achievement at in Years 10 and 11, we offer targeted students alternative provision:</w:t>
            </w:r>
          </w:p>
          <w:p w:rsidR="000F7609" w:rsidRPr="00624239" w:rsidRDefault="000F7609" w:rsidP="004F13F3">
            <w:pPr>
              <w:pStyle w:val="ListParagraph"/>
              <w:numPr>
                <w:ilvl w:val="0"/>
                <w:numId w:val="2"/>
              </w:numPr>
            </w:pPr>
            <w:r w:rsidRPr="00624239">
              <w:t>Skillforce</w:t>
            </w:r>
          </w:p>
          <w:p w:rsidR="000F7609" w:rsidRPr="00624239" w:rsidRDefault="000F7609" w:rsidP="004F13F3">
            <w:pPr>
              <w:pStyle w:val="ListParagraph"/>
              <w:numPr>
                <w:ilvl w:val="0"/>
                <w:numId w:val="2"/>
              </w:numPr>
            </w:pPr>
            <w:r w:rsidRPr="00624239">
              <w:t>BTEC Workskills</w:t>
            </w:r>
          </w:p>
        </w:tc>
        <w:tc>
          <w:tcPr>
            <w:tcW w:w="2090" w:type="dxa"/>
          </w:tcPr>
          <w:p w:rsidR="000F7609" w:rsidRPr="00624239" w:rsidRDefault="00624239" w:rsidP="004F13F3">
            <w:r w:rsidRPr="00624239">
              <w:t>Skillforce £4524</w:t>
            </w:r>
          </w:p>
        </w:tc>
      </w:tr>
      <w:tr w:rsidR="000F7609" w:rsidRPr="005C0306" w:rsidTr="004F13F3">
        <w:trPr>
          <w:cantSplit/>
        </w:trPr>
        <w:tc>
          <w:tcPr>
            <w:tcW w:w="3473" w:type="dxa"/>
          </w:tcPr>
          <w:p w:rsidR="000F7609" w:rsidRPr="005C0306" w:rsidRDefault="000F7609" w:rsidP="004F13F3">
            <w:r>
              <w:t>Improve the progress of disadvantaged students so it is as good as all other students nationally</w:t>
            </w:r>
          </w:p>
        </w:tc>
        <w:tc>
          <w:tcPr>
            <w:tcW w:w="3473" w:type="dxa"/>
          </w:tcPr>
          <w:p w:rsidR="000F7609" w:rsidRPr="005C0306" w:rsidRDefault="000F7609" w:rsidP="004F13F3">
            <w:r w:rsidRPr="009A2774">
              <w:t xml:space="preserve">Small fund per </w:t>
            </w:r>
            <w:r>
              <w:t xml:space="preserve">disadvantaged </w:t>
            </w:r>
            <w:r w:rsidRPr="009A2774">
              <w:t>student</w:t>
            </w:r>
          </w:p>
        </w:tc>
        <w:tc>
          <w:tcPr>
            <w:tcW w:w="4857" w:type="dxa"/>
          </w:tcPr>
          <w:p w:rsidR="000F7609" w:rsidRPr="007753B1" w:rsidRDefault="000F7609" w:rsidP="004F13F3">
            <w:r w:rsidRPr="007753B1">
              <w:t>In order to support each individual disadvantaged student’s needs (eg equipment, revision materials)</w:t>
            </w:r>
          </w:p>
          <w:p w:rsidR="000F7609" w:rsidRPr="007753B1" w:rsidRDefault="000F7609" w:rsidP="004F13F3"/>
          <w:p w:rsidR="000F7609" w:rsidRPr="007753B1" w:rsidRDefault="000F7609" w:rsidP="004F13F3">
            <w:r w:rsidRPr="007753B1">
              <w:t>In 2017-18, we will use the funds, to subsidise by up to £140 the purchase of a mobile device for Y7 students and those not previously provided with a device who are currently eligible for Free School Meals</w:t>
            </w:r>
          </w:p>
        </w:tc>
        <w:tc>
          <w:tcPr>
            <w:tcW w:w="2090" w:type="dxa"/>
          </w:tcPr>
          <w:p w:rsidR="000F7609" w:rsidRPr="00624239" w:rsidRDefault="000F7609" w:rsidP="004F13F3">
            <w:r w:rsidRPr="00624239">
              <w:t>Approx £400</w:t>
            </w:r>
          </w:p>
          <w:p w:rsidR="000F7609" w:rsidRPr="00624239" w:rsidRDefault="000F7609" w:rsidP="004F13F3"/>
          <w:p w:rsidR="000F7609" w:rsidRPr="00624239" w:rsidRDefault="000F7609" w:rsidP="004F13F3"/>
          <w:p w:rsidR="000F7609" w:rsidRPr="00624239" w:rsidRDefault="000F7609" w:rsidP="004F13F3">
            <w:r w:rsidRPr="00624239">
              <w:t>Approx £2100</w:t>
            </w:r>
          </w:p>
        </w:tc>
      </w:tr>
      <w:tr w:rsidR="000F7609" w:rsidRPr="00937F3C" w:rsidTr="004F13F3">
        <w:trPr>
          <w:cantSplit/>
        </w:trPr>
        <w:tc>
          <w:tcPr>
            <w:tcW w:w="3473" w:type="dxa"/>
          </w:tcPr>
          <w:p w:rsidR="000F7609" w:rsidRPr="00937F3C" w:rsidRDefault="000F7609" w:rsidP="004F13F3">
            <w:r w:rsidRPr="00937F3C">
              <w:lastRenderedPageBreak/>
              <w:t>Ensure the proportion of disadvantaged students achieving sustained destinations continues to meet or exceed that for all other students nationally</w:t>
            </w:r>
          </w:p>
        </w:tc>
        <w:tc>
          <w:tcPr>
            <w:tcW w:w="3473" w:type="dxa"/>
          </w:tcPr>
          <w:p w:rsidR="000F7609" w:rsidRPr="00937F3C" w:rsidRDefault="000F7609" w:rsidP="004F13F3">
            <w:r w:rsidRPr="00937F3C">
              <w:t>Careers guidance</w:t>
            </w:r>
          </w:p>
        </w:tc>
        <w:tc>
          <w:tcPr>
            <w:tcW w:w="4857" w:type="dxa"/>
          </w:tcPr>
          <w:p w:rsidR="000F7609" w:rsidRPr="00937F3C" w:rsidRDefault="000F7609" w:rsidP="004F13F3">
            <w:r w:rsidRPr="00937F3C">
              <w:t>Following the withdrawal of the national Connexions provision, we are following Department for Education guidance in using pupil premium funding to buy in provision to meet statutory requirements.  Whilst all students will receive a one-to-one interview, follow-up work will be targeted towards vulnerable students.</w:t>
            </w:r>
          </w:p>
        </w:tc>
        <w:tc>
          <w:tcPr>
            <w:tcW w:w="2090" w:type="dxa"/>
          </w:tcPr>
          <w:p w:rsidR="000F7609" w:rsidRPr="00937F3C" w:rsidRDefault="000F7609" w:rsidP="004F13F3">
            <w:r w:rsidRPr="00937F3C">
              <w:t>£12,</w:t>
            </w:r>
            <w:r w:rsidR="00624239" w:rsidRPr="00937F3C">
              <w:t>337</w:t>
            </w:r>
          </w:p>
        </w:tc>
      </w:tr>
      <w:tr w:rsidR="000F7609" w:rsidRPr="00937F3C" w:rsidTr="004F13F3">
        <w:trPr>
          <w:cantSplit/>
        </w:trPr>
        <w:tc>
          <w:tcPr>
            <w:tcW w:w="3473" w:type="dxa"/>
          </w:tcPr>
          <w:p w:rsidR="000F7609" w:rsidRPr="00937F3C" w:rsidRDefault="000F7609" w:rsidP="004F13F3">
            <w:r w:rsidRPr="00937F3C">
              <w:t>Improve the attendance and engagement of disadvantaged students so it is as good as all other students nationally</w:t>
            </w:r>
          </w:p>
        </w:tc>
        <w:tc>
          <w:tcPr>
            <w:tcW w:w="3473" w:type="dxa"/>
          </w:tcPr>
          <w:p w:rsidR="000F7609" w:rsidRPr="00937F3C" w:rsidRDefault="000F7609" w:rsidP="004F13F3">
            <w:r w:rsidRPr="00937F3C">
              <w:t>House system, including vertical tutoring</w:t>
            </w:r>
          </w:p>
        </w:tc>
        <w:tc>
          <w:tcPr>
            <w:tcW w:w="4857" w:type="dxa"/>
          </w:tcPr>
          <w:p w:rsidR="000F7609" w:rsidRPr="00937F3C" w:rsidRDefault="000F7609" w:rsidP="004F13F3">
            <w:r w:rsidRPr="00937F3C">
              <w:t>In order to provide all students, but particularly those who are disadvantaged and vulnerable, with regular and individual progress management, mentoring, advice and personal support, we have three houses and twelve vertical tutor groups within each house.  Each Head of House receives TLR1B and is supported by an Assistant Head of House (TLR2A) and two members of support staff.  We also employ two Family Support Key Workers.  This intervention ensures we know our students and their needs well and build effective relationships with parents.</w:t>
            </w:r>
          </w:p>
        </w:tc>
        <w:tc>
          <w:tcPr>
            <w:tcW w:w="2090" w:type="dxa"/>
          </w:tcPr>
          <w:p w:rsidR="000F7609" w:rsidRPr="00937F3C" w:rsidRDefault="00624239" w:rsidP="004F13F3">
            <w:r w:rsidRPr="00937F3C">
              <w:t>£84,976</w:t>
            </w:r>
          </w:p>
          <w:p w:rsidR="000F7609" w:rsidRPr="00937F3C" w:rsidRDefault="000F7609" w:rsidP="004F13F3">
            <w:pPr>
              <w:rPr>
                <w:i/>
                <w:sz w:val="20"/>
                <w:szCs w:val="20"/>
              </w:rPr>
            </w:pPr>
            <w:r w:rsidRPr="00937F3C">
              <w:rPr>
                <w:sz w:val="20"/>
                <w:szCs w:val="20"/>
              </w:rPr>
              <w:t xml:space="preserve">(Cost of </w:t>
            </w:r>
          </w:p>
          <w:p w:rsidR="000F7609" w:rsidRPr="00937F3C" w:rsidRDefault="000F7609" w:rsidP="004F13F3">
            <w:pPr>
              <w:rPr>
                <w:sz w:val="20"/>
                <w:szCs w:val="20"/>
              </w:rPr>
            </w:pPr>
            <w:r w:rsidRPr="00937F3C">
              <w:rPr>
                <w:sz w:val="20"/>
                <w:szCs w:val="20"/>
              </w:rPr>
              <w:t>three TLR 1Bs, including on-costs (HoH),</w:t>
            </w:r>
          </w:p>
          <w:p w:rsidR="000F7609" w:rsidRPr="00937F3C" w:rsidRDefault="000F7609" w:rsidP="004F13F3">
            <w:pPr>
              <w:rPr>
                <w:sz w:val="20"/>
                <w:szCs w:val="20"/>
              </w:rPr>
            </w:pPr>
            <w:r w:rsidRPr="00937F3C">
              <w:rPr>
                <w:sz w:val="20"/>
                <w:szCs w:val="20"/>
              </w:rPr>
              <w:t xml:space="preserve">three TLR 2As, including on-costs </w:t>
            </w:r>
          </w:p>
          <w:p w:rsidR="000F7609" w:rsidRPr="00937F3C" w:rsidRDefault="000F7609" w:rsidP="004F13F3">
            <w:pPr>
              <w:rPr>
                <w:sz w:val="20"/>
                <w:szCs w:val="20"/>
              </w:rPr>
            </w:pPr>
            <w:r w:rsidRPr="00937F3C">
              <w:rPr>
                <w:sz w:val="20"/>
                <w:szCs w:val="20"/>
              </w:rPr>
              <w:t>(A HoH),</w:t>
            </w:r>
          </w:p>
          <w:p w:rsidR="000F7609" w:rsidRPr="00937F3C" w:rsidRDefault="000F7609" w:rsidP="004F13F3">
            <w:pPr>
              <w:rPr>
                <w:sz w:val="20"/>
                <w:szCs w:val="20"/>
              </w:rPr>
            </w:pPr>
            <w:r w:rsidRPr="00937F3C">
              <w:rPr>
                <w:sz w:val="20"/>
                <w:szCs w:val="20"/>
              </w:rPr>
              <w:t>Family Support key Workers)</w:t>
            </w:r>
          </w:p>
        </w:tc>
      </w:tr>
    </w:tbl>
    <w:p w:rsidR="000F7609" w:rsidRDefault="000F7609" w:rsidP="000F7609"/>
    <w:p w:rsidR="000F7609" w:rsidRPr="00841250" w:rsidRDefault="000F7609" w:rsidP="000F7609">
      <w:r w:rsidRPr="00841250">
        <w:t>* SkillForce is an education charity working with 10,000 young people throughout 150 schools in Great Britain who are in danger of leaving school without the skills and qualifications they need to succeed in life</w:t>
      </w:r>
    </w:p>
    <w:p w:rsidR="000F7609" w:rsidRPr="00841250" w:rsidRDefault="000F7609"/>
    <w:p w:rsidR="000F7609" w:rsidRDefault="000F7609">
      <w:pPr>
        <w:rPr>
          <w:u w:val="single"/>
        </w:rPr>
      </w:pPr>
      <w:r>
        <w:rPr>
          <w:u w:val="single"/>
        </w:rPr>
        <w:br w:type="page"/>
      </w:r>
    </w:p>
    <w:p w:rsidR="00976301" w:rsidRPr="005C0306" w:rsidRDefault="00976301" w:rsidP="00976301">
      <w:pPr>
        <w:rPr>
          <w:u w:val="single"/>
        </w:rPr>
      </w:pPr>
      <w:r w:rsidRPr="005C0306">
        <w:rPr>
          <w:u w:val="single"/>
        </w:rPr>
        <w:lastRenderedPageBreak/>
        <w:t>Academic</w:t>
      </w:r>
      <w:r w:rsidR="00DB07CA">
        <w:rPr>
          <w:u w:val="single"/>
        </w:rPr>
        <w:t xml:space="preserve"> Year 2017-18</w:t>
      </w:r>
    </w:p>
    <w:p w:rsidR="00976301" w:rsidRPr="0037302C" w:rsidRDefault="00976301" w:rsidP="00976301">
      <w:pPr>
        <w:rPr>
          <w:rFonts w:ascii="Arial" w:hAnsi="Arial" w:cs="Arial"/>
          <w:color w:val="222222"/>
          <w:sz w:val="19"/>
          <w:szCs w:val="19"/>
          <w:shd w:val="clear" w:color="auto" w:fill="FFFFFF"/>
        </w:rPr>
      </w:pPr>
      <w:r w:rsidRPr="005C0306">
        <w:t xml:space="preserve">Allocation: </w:t>
      </w:r>
      <w:r w:rsidR="00FA372C" w:rsidRPr="00FA372C">
        <w:t>£</w:t>
      </w:r>
      <w:r w:rsidR="008C0B94">
        <w:t xml:space="preserve">87,980 </w:t>
      </w:r>
      <w:r w:rsidR="00DB07CA" w:rsidRPr="00FA372C">
        <w:t>(</w:t>
      </w:r>
      <w:r w:rsidR="00DB07CA">
        <w:t>for 01 April 17 – 31 Mar 18</w:t>
      </w:r>
      <w:r w:rsidRPr="005C0306">
        <w:t>)</w:t>
      </w:r>
    </w:p>
    <w:p w:rsidR="00976301" w:rsidRPr="005C0306" w:rsidRDefault="00976301" w:rsidP="00976301">
      <w:r w:rsidRPr="005C0306">
        <w:t>Spending:</w:t>
      </w:r>
      <w:r w:rsidR="00F838DD">
        <w:t xml:space="preserve"> £108,181 (plus £9,424 brought forward)</w:t>
      </w:r>
    </w:p>
    <w:tbl>
      <w:tblPr>
        <w:tblStyle w:val="TableGrid"/>
        <w:tblW w:w="0" w:type="auto"/>
        <w:tblLook w:val="04A0" w:firstRow="1" w:lastRow="0" w:firstColumn="1" w:lastColumn="0" w:noHBand="0" w:noVBand="1"/>
      </w:tblPr>
      <w:tblGrid>
        <w:gridCol w:w="3235"/>
        <w:gridCol w:w="3234"/>
        <w:gridCol w:w="4534"/>
        <w:gridCol w:w="2007"/>
        <w:gridCol w:w="1890"/>
      </w:tblGrid>
      <w:tr w:rsidR="00F63C67" w:rsidRPr="005C0306" w:rsidTr="00F63C67">
        <w:trPr>
          <w:cantSplit/>
          <w:tblHeader/>
        </w:trPr>
        <w:tc>
          <w:tcPr>
            <w:tcW w:w="3286" w:type="dxa"/>
          </w:tcPr>
          <w:p w:rsidR="00F63C67" w:rsidRPr="005C0306" w:rsidRDefault="00F63C67" w:rsidP="00976301">
            <w:pPr>
              <w:rPr>
                <w:b/>
              </w:rPr>
            </w:pPr>
            <w:r>
              <w:rPr>
                <w:b/>
              </w:rPr>
              <w:t>Outcome</w:t>
            </w:r>
          </w:p>
        </w:tc>
        <w:tc>
          <w:tcPr>
            <w:tcW w:w="3286" w:type="dxa"/>
          </w:tcPr>
          <w:p w:rsidR="00F63C67" w:rsidRPr="005C0306" w:rsidRDefault="00F63C67" w:rsidP="00976301">
            <w:pPr>
              <w:rPr>
                <w:b/>
              </w:rPr>
            </w:pPr>
            <w:r w:rsidRPr="005C0306">
              <w:rPr>
                <w:b/>
              </w:rPr>
              <w:t>Activity</w:t>
            </w:r>
          </w:p>
        </w:tc>
        <w:tc>
          <w:tcPr>
            <w:tcW w:w="4612" w:type="dxa"/>
          </w:tcPr>
          <w:p w:rsidR="00F63C67" w:rsidRPr="005C0306" w:rsidRDefault="00F63C67" w:rsidP="00976301">
            <w:pPr>
              <w:rPr>
                <w:b/>
              </w:rPr>
            </w:pPr>
            <w:r w:rsidRPr="005C0306">
              <w:rPr>
                <w:b/>
              </w:rPr>
              <w:t>Description</w:t>
            </w:r>
          </w:p>
        </w:tc>
        <w:tc>
          <w:tcPr>
            <w:tcW w:w="2025" w:type="dxa"/>
          </w:tcPr>
          <w:p w:rsidR="00F63C67" w:rsidRPr="005C0306" w:rsidRDefault="00F63C67" w:rsidP="00976301">
            <w:pPr>
              <w:rPr>
                <w:b/>
              </w:rPr>
            </w:pPr>
            <w:r w:rsidRPr="005C0306">
              <w:rPr>
                <w:b/>
              </w:rPr>
              <w:t>Cost</w:t>
            </w:r>
          </w:p>
        </w:tc>
        <w:tc>
          <w:tcPr>
            <w:tcW w:w="1917" w:type="dxa"/>
          </w:tcPr>
          <w:p w:rsidR="00F63C67" w:rsidRPr="005C0306" w:rsidRDefault="00F63C67" w:rsidP="00976301">
            <w:pPr>
              <w:rPr>
                <w:b/>
              </w:rPr>
            </w:pPr>
            <w:r>
              <w:rPr>
                <w:b/>
              </w:rPr>
              <w:t>Impact</w:t>
            </w:r>
          </w:p>
        </w:tc>
      </w:tr>
      <w:tr w:rsidR="00F63C67" w:rsidRPr="005C0306" w:rsidTr="00F63C67">
        <w:trPr>
          <w:cantSplit/>
        </w:trPr>
        <w:tc>
          <w:tcPr>
            <w:tcW w:w="3286" w:type="dxa"/>
          </w:tcPr>
          <w:p w:rsidR="00F63C67" w:rsidRDefault="00F63C67" w:rsidP="00976301">
            <w:r>
              <w:t>Improve the progress of disadvantaged students in English and mathematics so that it is as good as all other students nationally</w:t>
            </w:r>
          </w:p>
        </w:tc>
        <w:tc>
          <w:tcPr>
            <w:tcW w:w="3286" w:type="dxa"/>
          </w:tcPr>
          <w:p w:rsidR="00F63C67" w:rsidRPr="005C0306" w:rsidRDefault="00F63C67" w:rsidP="00976301">
            <w:r>
              <w:t>English and mathematics intervention – Years 7-9</w:t>
            </w:r>
          </w:p>
        </w:tc>
        <w:tc>
          <w:tcPr>
            <w:tcW w:w="4612" w:type="dxa"/>
          </w:tcPr>
          <w:p w:rsidR="00F63C67" w:rsidRPr="005C0306" w:rsidRDefault="00F63C67" w:rsidP="00DB07CA">
            <w:r>
              <w:t xml:space="preserve">This is led by the English and mathematics Subject Leaders and delivered by the Senior Learning Support Assistants (Literacy and Numeracy), in lessons and through small group withdrawal.  The programme is focussed on </w:t>
            </w:r>
            <w:r w:rsidRPr="005C0306">
              <w:t>students who made less progress than expected at primary school in English and mathematics</w:t>
            </w:r>
            <w:r>
              <w:t xml:space="preserve"> and on those eligible for Pupil Premium.</w:t>
            </w:r>
          </w:p>
        </w:tc>
        <w:tc>
          <w:tcPr>
            <w:tcW w:w="2025" w:type="dxa"/>
          </w:tcPr>
          <w:p w:rsidR="00F63C67" w:rsidRDefault="00F63C67" w:rsidP="00976301">
            <w:r>
              <w:t>(£7503 tbc (Feb 18)</w:t>
            </w:r>
          </w:p>
          <w:p w:rsidR="00F63C67" w:rsidRPr="00FA372C" w:rsidRDefault="00F63C67" w:rsidP="00976301">
            <w:r>
              <w:t>Y7 Catch-up Premium)</w:t>
            </w:r>
          </w:p>
        </w:tc>
        <w:tc>
          <w:tcPr>
            <w:tcW w:w="1917" w:type="dxa"/>
          </w:tcPr>
          <w:p w:rsidR="00F63C67" w:rsidRPr="00F63C67" w:rsidRDefault="00473E0F" w:rsidP="00976301">
            <w:pPr>
              <w:rPr>
                <w:i/>
              </w:rPr>
            </w:pPr>
            <w:r>
              <w:rPr>
                <w:i/>
              </w:rPr>
              <w:t xml:space="preserve">See report on </w:t>
            </w:r>
            <w:r>
              <w:rPr>
                <w:i/>
              </w:rPr>
              <w:br/>
              <w:t>Year 7 Catch-up P</w:t>
            </w:r>
            <w:r w:rsidR="00F63C67">
              <w:rPr>
                <w:i/>
              </w:rPr>
              <w:t>remium</w:t>
            </w:r>
          </w:p>
        </w:tc>
      </w:tr>
      <w:tr w:rsidR="00F63C67" w:rsidRPr="005C0306" w:rsidTr="00F63C67">
        <w:trPr>
          <w:cantSplit/>
        </w:trPr>
        <w:tc>
          <w:tcPr>
            <w:tcW w:w="3286" w:type="dxa"/>
          </w:tcPr>
          <w:p w:rsidR="00F63C67" w:rsidRDefault="00F63C67" w:rsidP="00F63C67">
            <w:r>
              <w:t>Improve the progress of disadvantaged students in English and mathematics so that it is as good as all other students nationally</w:t>
            </w:r>
          </w:p>
        </w:tc>
        <w:tc>
          <w:tcPr>
            <w:tcW w:w="3286" w:type="dxa"/>
          </w:tcPr>
          <w:p w:rsidR="00F63C67" w:rsidRPr="005C0306" w:rsidRDefault="00F63C67" w:rsidP="00F63C67">
            <w:r>
              <w:t>English and mathematics intervention - GCSE</w:t>
            </w:r>
          </w:p>
        </w:tc>
        <w:tc>
          <w:tcPr>
            <w:tcW w:w="4612" w:type="dxa"/>
          </w:tcPr>
          <w:p w:rsidR="00F63C67" w:rsidRDefault="00F63C67" w:rsidP="00F63C67">
            <w:r>
              <w:t>Students are able to opt for additional English and mathematics as one of their option choices.  Students whom data suggested would benefit for this, with a particular focus on those eligible for Pupil Premium, received targeted information through the options process.</w:t>
            </w:r>
          </w:p>
          <w:p w:rsidR="00F63C67" w:rsidRDefault="00F63C67" w:rsidP="00F63C67"/>
          <w:p w:rsidR="00F63C67" w:rsidRPr="005C0306" w:rsidRDefault="00F63C67" w:rsidP="00F63C67">
            <w:r>
              <w:t>Previously we provided intervention through 1:1 and small group tuition but this meant withdrawing students from other lessons.  Following the evidence that quality first teaching is one of the most effective interventions, we have therefore changed our model so intervention is planned as an integral part of the curriculum model, not a bolt-on.</w:t>
            </w:r>
          </w:p>
        </w:tc>
        <w:tc>
          <w:tcPr>
            <w:tcW w:w="2025" w:type="dxa"/>
          </w:tcPr>
          <w:p w:rsidR="00F63C67" w:rsidRDefault="00F63C67" w:rsidP="00F63C67">
            <w:r>
              <w:t>£10,000</w:t>
            </w:r>
          </w:p>
          <w:p w:rsidR="00F63C67" w:rsidRPr="00FA372C" w:rsidRDefault="00F63C67" w:rsidP="00F63C67">
            <w:r>
              <w:t>(two groups in Y10, includes £9,424 brought forward from 1:1 tuition in 1617)</w:t>
            </w:r>
          </w:p>
        </w:tc>
        <w:tc>
          <w:tcPr>
            <w:tcW w:w="1917" w:type="dxa"/>
          </w:tcPr>
          <w:p w:rsidR="00F63C67" w:rsidRPr="00F63C67" w:rsidRDefault="00F63C67" w:rsidP="00F63C67">
            <w:pPr>
              <w:rPr>
                <w:i/>
              </w:rPr>
            </w:pPr>
            <w:r>
              <w:rPr>
                <w:i/>
              </w:rPr>
              <w:t>See page 12</w:t>
            </w:r>
          </w:p>
        </w:tc>
      </w:tr>
      <w:tr w:rsidR="00F63C67" w:rsidRPr="005C0306" w:rsidTr="00F63C67">
        <w:trPr>
          <w:cantSplit/>
        </w:trPr>
        <w:tc>
          <w:tcPr>
            <w:tcW w:w="3286" w:type="dxa"/>
          </w:tcPr>
          <w:p w:rsidR="00F63C67" w:rsidRPr="005C0306" w:rsidRDefault="00F63C67" w:rsidP="00F63C67">
            <w:r>
              <w:t>Improve the progress of disadvantaged students so it is as good as all other students nationally</w:t>
            </w:r>
          </w:p>
        </w:tc>
        <w:tc>
          <w:tcPr>
            <w:tcW w:w="3286" w:type="dxa"/>
          </w:tcPr>
          <w:p w:rsidR="00F63C67" w:rsidRPr="005C0306" w:rsidRDefault="00F63C67" w:rsidP="00F63C67">
            <w:r w:rsidRPr="005C0306">
              <w:t>Alternative Curriculum</w:t>
            </w:r>
          </w:p>
        </w:tc>
        <w:tc>
          <w:tcPr>
            <w:tcW w:w="4612" w:type="dxa"/>
          </w:tcPr>
          <w:p w:rsidR="00F63C67" w:rsidRPr="005C0306" w:rsidRDefault="00F63C67" w:rsidP="00F63C67">
            <w:r w:rsidRPr="005C0306">
              <w:t xml:space="preserve">In order to support engagement and hence progress and achievement at in Years </w:t>
            </w:r>
            <w:r>
              <w:t>10 and</w:t>
            </w:r>
            <w:r w:rsidRPr="005C0306">
              <w:t xml:space="preserve"> 11, we offer targeted students alter</w:t>
            </w:r>
            <w:r>
              <w:t>n</w:t>
            </w:r>
            <w:r w:rsidRPr="005C0306">
              <w:t>ative provision:</w:t>
            </w:r>
          </w:p>
          <w:p w:rsidR="00F63C67" w:rsidRPr="005C0306" w:rsidRDefault="00F63C67" w:rsidP="00F63C67">
            <w:pPr>
              <w:pStyle w:val="ListParagraph"/>
              <w:numPr>
                <w:ilvl w:val="0"/>
                <w:numId w:val="2"/>
              </w:numPr>
            </w:pPr>
            <w:r w:rsidRPr="005C0306">
              <w:t>Skillforce*</w:t>
            </w:r>
          </w:p>
        </w:tc>
        <w:tc>
          <w:tcPr>
            <w:tcW w:w="2025" w:type="dxa"/>
          </w:tcPr>
          <w:p w:rsidR="00F63C67" w:rsidRPr="00FA372C" w:rsidRDefault="00F63C67" w:rsidP="00F63C67">
            <w:r w:rsidRPr="00FA372C">
              <w:t xml:space="preserve">Contribution towards cost </w:t>
            </w:r>
            <w:r>
              <w:t>£12,2</w:t>
            </w:r>
            <w:r w:rsidRPr="00FA372C">
              <w:t xml:space="preserve">00 </w:t>
            </w:r>
            <w:r w:rsidRPr="00FA372C">
              <w:br/>
              <w:t>(of £23,200)</w:t>
            </w:r>
          </w:p>
        </w:tc>
        <w:tc>
          <w:tcPr>
            <w:tcW w:w="1917" w:type="dxa"/>
          </w:tcPr>
          <w:p w:rsidR="00F63C67" w:rsidRPr="00473E0F" w:rsidRDefault="00473E0F" w:rsidP="00F63C67">
            <w:pPr>
              <w:rPr>
                <w:i/>
              </w:rPr>
            </w:pPr>
            <w:r>
              <w:rPr>
                <w:i/>
              </w:rPr>
              <w:t>See page 13</w:t>
            </w:r>
          </w:p>
        </w:tc>
      </w:tr>
      <w:tr w:rsidR="00F63C67" w:rsidRPr="005C0306" w:rsidTr="00F63C67">
        <w:trPr>
          <w:cantSplit/>
        </w:trPr>
        <w:tc>
          <w:tcPr>
            <w:tcW w:w="3286" w:type="dxa"/>
          </w:tcPr>
          <w:p w:rsidR="00F63C67" w:rsidRPr="005C0306" w:rsidRDefault="00F63C67" w:rsidP="00F63C67">
            <w:r>
              <w:lastRenderedPageBreak/>
              <w:t>Improve the progress of disadvantaged students so it is as good as all other students nationally</w:t>
            </w:r>
          </w:p>
        </w:tc>
        <w:tc>
          <w:tcPr>
            <w:tcW w:w="3286" w:type="dxa"/>
          </w:tcPr>
          <w:p w:rsidR="00F63C67" w:rsidRPr="005C0306" w:rsidRDefault="00F63C67" w:rsidP="00F63C67">
            <w:r w:rsidRPr="009A2774">
              <w:t xml:space="preserve">Small fund per </w:t>
            </w:r>
            <w:r>
              <w:t xml:space="preserve">disadvantaged </w:t>
            </w:r>
            <w:r w:rsidRPr="009A2774">
              <w:t>student</w:t>
            </w:r>
          </w:p>
        </w:tc>
        <w:tc>
          <w:tcPr>
            <w:tcW w:w="4612" w:type="dxa"/>
          </w:tcPr>
          <w:p w:rsidR="00F63C67" w:rsidRPr="007753B1" w:rsidRDefault="00F63C67" w:rsidP="00F63C67">
            <w:r w:rsidRPr="007753B1">
              <w:t>In order to support each individual disadvantaged student’s needs (eg equipment, revision materials)</w:t>
            </w:r>
          </w:p>
          <w:p w:rsidR="00F63C67" w:rsidRPr="007753B1" w:rsidRDefault="00F63C67" w:rsidP="00F63C67"/>
          <w:p w:rsidR="00F63C67" w:rsidRPr="007753B1" w:rsidRDefault="00F63C67" w:rsidP="00F63C67">
            <w:r w:rsidRPr="007753B1">
              <w:t>In 2017-18, we will use the funds, to subsidise by up to £140 the purchase of a mobile device for Y7 students and those not previously provided with a device who are currently eligible for Free School Meals</w:t>
            </w:r>
          </w:p>
        </w:tc>
        <w:tc>
          <w:tcPr>
            <w:tcW w:w="2025" w:type="dxa"/>
          </w:tcPr>
          <w:p w:rsidR="00F63C67" w:rsidRDefault="00F63C67" w:rsidP="00F63C67">
            <w:r>
              <w:t>Approx £400</w:t>
            </w:r>
          </w:p>
          <w:p w:rsidR="00F63C67" w:rsidRDefault="00F63C67" w:rsidP="00F63C67"/>
          <w:p w:rsidR="00F63C67" w:rsidRDefault="00F63C67" w:rsidP="00F63C67"/>
          <w:p w:rsidR="00F63C67" w:rsidRPr="00232A54" w:rsidRDefault="00F63C67" w:rsidP="00F63C67">
            <w:r>
              <w:t>Approx £2100</w:t>
            </w:r>
          </w:p>
        </w:tc>
        <w:tc>
          <w:tcPr>
            <w:tcW w:w="1917" w:type="dxa"/>
          </w:tcPr>
          <w:p w:rsidR="00F63C67" w:rsidRPr="00473E0F" w:rsidRDefault="00473E0F" w:rsidP="00F63C67">
            <w:pPr>
              <w:rPr>
                <w:i/>
              </w:rPr>
            </w:pPr>
            <w:r>
              <w:rPr>
                <w:i/>
              </w:rPr>
              <w:t>See pages 14-15</w:t>
            </w:r>
          </w:p>
        </w:tc>
      </w:tr>
      <w:tr w:rsidR="00F63C67" w:rsidRPr="005C0306" w:rsidTr="00F63C67">
        <w:trPr>
          <w:cantSplit/>
        </w:trPr>
        <w:tc>
          <w:tcPr>
            <w:tcW w:w="3286" w:type="dxa"/>
          </w:tcPr>
          <w:p w:rsidR="00F63C67" w:rsidRPr="005C0306" w:rsidRDefault="00F63C67" w:rsidP="00F63C67">
            <w:r>
              <w:t>Ensure the proportion of disadvantaged students achieving sustained destinations continues to meet or exceed that for all other students nationally</w:t>
            </w:r>
          </w:p>
        </w:tc>
        <w:tc>
          <w:tcPr>
            <w:tcW w:w="3286" w:type="dxa"/>
          </w:tcPr>
          <w:p w:rsidR="00F63C67" w:rsidRPr="005C0306" w:rsidRDefault="00F63C67" w:rsidP="00F63C67">
            <w:r w:rsidRPr="005C0306">
              <w:t>Careers guidance</w:t>
            </w:r>
          </w:p>
        </w:tc>
        <w:tc>
          <w:tcPr>
            <w:tcW w:w="4612" w:type="dxa"/>
          </w:tcPr>
          <w:p w:rsidR="00F63C67" w:rsidRPr="005C0306" w:rsidRDefault="00F63C67" w:rsidP="00F63C67">
            <w:r w:rsidRPr="005C0306">
              <w:t>Following the withdrawal of the national Connexions provision, we are following Department for Education guidance in using pupil premium funding to buy in provision to meet statutory requirements.  Whilst all students will receive a one-to-one interview, follow-up work will be targeted towards vulnerable students</w:t>
            </w:r>
            <w:r>
              <w:t>.</w:t>
            </w:r>
          </w:p>
        </w:tc>
        <w:tc>
          <w:tcPr>
            <w:tcW w:w="2025" w:type="dxa"/>
          </w:tcPr>
          <w:p w:rsidR="00F63C67" w:rsidRPr="00FA372C" w:rsidRDefault="00F63C67" w:rsidP="00F63C67">
            <w:r w:rsidRPr="00FA372C">
              <w:t>£12,173</w:t>
            </w:r>
          </w:p>
        </w:tc>
        <w:tc>
          <w:tcPr>
            <w:tcW w:w="1917" w:type="dxa"/>
          </w:tcPr>
          <w:p w:rsidR="00F63C67" w:rsidRPr="00FA372C" w:rsidRDefault="00473E0F" w:rsidP="00F63C67">
            <w:r>
              <w:rPr>
                <w:i/>
              </w:rPr>
              <w:t>See page 13</w:t>
            </w:r>
          </w:p>
        </w:tc>
      </w:tr>
      <w:tr w:rsidR="00473E0F" w:rsidRPr="005C0306" w:rsidTr="00F63C67">
        <w:trPr>
          <w:cantSplit/>
        </w:trPr>
        <w:tc>
          <w:tcPr>
            <w:tcW w:w="3286" w:type="dxa"/>
          </w:tcPr>
          <w:p w:rsidR="00473E0F" w:rsidRPr="005C0306" w:rsidRDefault="00473E0F" w:rsidP="00473E0F">
            <w:r>
              <w:t>Improve the attendance and engagement of disadvantaged students so it is as good as all other students nationally</w:t>
            </w:r>
          </w:p>
        </w:tc>
        <w:tc>
          <w:tcPr>
            <w:tcW w:w="3286" w:type="dxa"/>
          </w:tcPr>
          <w:p w:rsidR="00473E0F" w:rsidRPr="005C0306" w:rsidRDefault="00473E0F" w:rsidP="00473E0F">
            <w:r w:rsidRPr="005C0306">
              <w:t>House system, including vertical tutoring</w:t>
            </w:r>
          </w:p>
        </w:tc>
        <w:tc>
          <w:tcPr>
            <w:tcW w:w="4612" w:type="dxa"/>
          </w:tcPr>
          <w:p w:rsidR="00473E0F" w:rsidRPr="005C0306" w:rsidRDefault="00473E0F" w:rsidP="00473E0F">
            <w:r w:rsidRPr="005C0306">
              <w:t xml:space="preserve">In order to provide all students, but particularly those who are disadvantaged and vulnerable, with regular and individual progress management, mentoring, advice and personal support, we have </w:t>
            </w:r>
            <w:r>
              <w:t>three</w:t>
            </w:r>
            <w:r w:rsidRPr="005C0306">
              <w:t xml:space="preserve"> houses and </w:t>
            </w:r>
            <w:r>
              <w:t>twelve</w:t>
            </w:r>
            <w:r w:rsidRPr="005C0306">
              <w:t xml:space="preserve"> vertical tutor groups within each hou</w:t>
            </w:r>
            <w:r>
              <w:t>se.  Each Head of House receives</w:t>
            </w:r>
            <w:r w:rsidRPr="005C0306">
              <w:t xml:space="preserve"> TLR1B and is supported by</w:t>
            </w:r>
            <w:r>
              <w:t xml:space="preserve"> an Assistant Head of House (TLR2A) and</w:t>
            </w:r>
            <w:r w:rsidRPr="005C0306">
              <w:t xml:space="preserve"> </w:t>
            </w:r>
            <w:r>
              <w:t>two members of support staff</w:t>
            </w:r>
            <w:r w:rsidRPr="005C0306">
              <w:t xml:space="preserve">.  </w:t>
            </w:r>
            <w:r>
              <w:t xml:space="preserve">We also employ two Family Support Key Workers.  </w:t>
            </w:r>
            <w:r w:rsidRPr="005C0306">
              <w:t>This intervention ensures we know our students and their needs well</w:t>
            </w:r>
            <w:r>
              <w:t xml:space="preserve"> and build effective relationships with parents.</w:t>
            </w:r>
          </w:p>
        </w:tc>
        <w:tc>
          <w:tcPr>
            <w:tcW w:w="2025" w:type="dxa"/>
          </w:tcPr>
          <w:p w:rsidR="00473E0F" w:rsidRPr="00FA372C" w:rsidRDefault="00473E0F" w:rsidP="00473E0F">
            <w:r w:rsidRPr="00FA372C">
              <w:t>£80,732</w:t>
            </w:r>
          </w:p>
          <w:p w:rsidR="00473E0F" w:rsidRPr="00FA372C" w:rsidRDefault="00473E0F" w:rsidP="00473E0F">
            <w:pPr>
              <w:rPr>
                <w:i/>
                <w:sz w:val="20"/>
                <w:szCs w:val="20"/>
              </w:rPr>
            </w:pPr>
            <w:r w:rsidRPr="00FA372C">
              <w:rPr>
                <w:sz w:val="20"/>
                <w:szCs w:val="20"/>
              </w:rPr>
              <w:t xml:space="preserve">(Cost of </w:t>
            </w:r>
          </w:p>
          <w:p w:rsidR="00473E0F" w:rsidRPr="00FA372C" w:rsidRDefault="00473E0F" w:rsidP="00473E0F">
            <w:pPr>
              <w:rPr>
                <w:sz w:val="20"/>
                <w:szCs w:val="20"/>
              </w:rPr>
            </w:pPr>
            <w:r w:rsidRPr="00FA372C">
              <w:rPr>
                <w:sz w:val="20"/>
                <w:szCs w:val="20"/>
              </w:rPr>
              <w:t>three TLR 1Bs, including on-costs (HoH),</w:t>
            </w:r>
          </w:p>
          <w:p w:rsidR="00473E0F" w:rsidRPr="00FA372C" w:rsidRDefault="00473E0F" w:rsidP="00473E0F">
            <w:pPr>
              <w:rPr>
                <w:sz w:val="20"/>
                <w:szCs w:val="20"/>
              </w:rPr>
            </w:pPr>
            <w:r w:rsidRPr="00FA372C">
              <w:rPr>
                <w:sz w:val="20"/>
                <w:szCs w:val="20"/>
              </w:rPr>
              <w:t xml:space="preserve">three TLR 2As, including on-costs </w:t>
            </w:r>
          </w:p>
          <w:p w:rsidR="00473E0F" w:rsidRPr="00FA372C" w:rsidRDefault="00473E0F" w:rsidP="00473E0F">
            <w:pPr>
              <w:rPr>
                <w:sz w:val="20"/>
                <w:szCs w:val="20"/>
              </w:rPr>
            </w:pPr>
            <w:r w:rsidRPr="00FA372C">
              <w:rPr>
                <w:sz w:val="20"/>
                <w:szCs w:val="20"/>
              </w:rPr>
              <w:t>(A HoH),</w:t>
            </w:r>
          </w:p>
          <w:p w:rsidR="00473E0F" w:rsidRPr="00FA372C" w:rsidRDefault="00473E0F" w:rsidP="00473E0F">
            <w:pPr>
              <w:rPr>
                <w:sz w:val="20"/>
                <w:szCs w:val="20"/>
              </w:rPr>
            </w:pPr>
            <w:r w:rsidRPr="00FA372C">
              <w:rPr>
                <w:sz w:val="20"/>
                <w:szCs w:val="20"/>
              </w:rPr>
              <w:t>Family Support key Workers)</w:t>
            </w:r>
          </w:p>
        </w:tc>
        <w:tc>
          <w:tcPr>
            <w:tcW w:w="1917" w:type="dxa"/>
          </w:tcPr>
          <w:p w:rsidR="00473E0F" w:rsidRPr="00473E0F" w:rsidRDefault="00473E0F" w:rsidP="00473E0F">
            <w:pPr>
              <w:rPr>
                <w:i/>
              </w:rPr>
            </w:pPr>
            <w:r>
              <w:rPr>
                <w:i/>
              </w:rPr>
              <w:t>See pages 14-15</w:t>
            </w:r>
          </w:p>
        </w:tc>
      </w:tr>
    </w:tbl>
    <w:p w:rsidR="00FA372C" w:rsidRDefault="00FA372C" w:rsidP="00976301"/>
    <w:p w:rsidR="00976301" w:rsidRPr="00841250" w:rsidRDefault="00976301" w:rsidP="00976301">
      <w:r w:rsidRPr="00841250">
        <w:t>* SkillForce is an education charity working with 10,000 young people throughout 150 schools in Great Britain who are in danger of leaving school without the skills and qualifications they need to succeed in life</w:t>
      </w:r>
    </w:p>
    <w:p w:rsidR="00976301" w:rsidRDefault="00976301" w:rsidP="00976301">
      <w:pPr>
        <w:rPr>
          <w:u w:val="single"/>
        </w:rPr>
      </w:pPr>
    </w:p>
    <w:p w:rsidR="0028340A" w:rsidRDefault="0028340A" w:rsidP="00976301">
      <w:pPr>
        <w:rPr>
          <w:u w:val="single"/>
        </w:rPr>
        <w:sectPr w:rsidR="0028340A" w:rsidSect="0028340A">
          <w:pgSz w:w="16838" w:h="11906" w:orient="landscape"/>
          <w:pgMar w:top="851" w:right="851" w:bottom="851" w:left="1077" w:header="709" w:footer="709" w:gutter="0"/>
          <w:cols w:space="708"/>
          <w:docGrid w:linePitch="360"/>
        </w:sectPr>
      </w:pPr>
    </w:p>
    <w:p w:rsidR="00974F8C" w:rsidRDefault="00974F8C" w:rsidP="007D7C04">
      <w:r>
        <w:lastRenderedPageBreak/>
        <w:t xml:space="preserve">Note that we use the Pupil Premium funding within the context of a coherent whole-school development plan and budget, identifying and implementing the most effective strategies in order to narrow the gap between advantaged and disadvantaged students within our intake.  </w:t>
      </w:r>
      <w:r w:rsidR="00E87DB5">
        <w:t xml:space="preserve">For example, </w:t>
      </w:r>
      <w:r w:rsidR="00E87DB5" w:rsidRPr="00E87DB5">
        <w:t xml:space="preserve">effective feedback can produce a potential maximum gain in progress of additional </w:t>
      </w:r>
      <w:r w:rsidR="00E87DB5">
        <w:t>nine</w:t>
      </w:r>
      <w:r w:rsidR="00E87DB5" w:rsidRPr="00E87DB5">
        <w:t xml:space="preserve"> months across an academic year for an average student (‘Toolkit of Strategies to Improve Learning’, Sutton Trust (May 2011)) and is therefore one of the most effective interventions a school can put in place.  Reflecting its importance, we </w:t>
      </w:r>
      <w:r w:rsidR="00CD6CF2">
        <w:t>devoted</w:t>
      </w:r>
      <w:r w:rsidR="00E87DB5" w:rsidRPr="00E87DB5">
        <w:t xml:space="preserve"> one Thursday meeting each term in 2012-13 to marking as a team, and to the development of effective feedback.  </w:t>
      </w:r>
      <w:r w:rsidR="00997F6F">
        <w:t>From</w:t>
      </w:r>
      <w:r w:rsidR="00CD6CF2">
        <w:t xml:space="preserve"> 2013-14</w:t>
      </w:r>
      <w:r w:rsidR="00C350BF">
        <w:t xml:space="preserve"> onwards</w:t>
      </w:r>
      <w:r w:rsidR="00CD6CF2">
        <w:t xml:space="preserve">, one </w:t>
      </w:r>
      <w:r w:rsidR="00C350BF">
        <w:t>after school</w:t>
      </w:r>
      <w:r w:rsidR="00CD6CF2">
        <w:t xml:space="preserve"> meeting each term </w:t>
      </w:r>
      <w:r w:rsidR="00997F6F">
        <w:t>has been</w:t>
      </w:r>
      <w:r w:rsidR="00CD6CF2">
        <w:t xml:space="preserve"> devoted to work sampling.  </w:t>
      </w:r>
      <w:r w:rsidR="00E87DB5" w:rsidRPr="00E87DB5">
        <w:t xml:space="preserve">We also adopted, from September 2012, a standardised format for feedback which we call Triple Impact Marking.  Developing feedback is just one strand of our work on embedding Assessment for Learning, which has already been the main focus of our School Development Plan for </w:t>
      </w:r>
      <w:r w:rsidR="00997F6F">
        <w:t>many</w:t>
      </w:r>
      <w:r w:rsidR="00E87DB5" w:rsidRPr="00E87DB5">
        <w:t xml:space="preserve"> years.  Improving the effectiveness of feedback is not costly in terms of money, but it is costly in terms of time.  Other more costly interventions are supported by the school</w:t>
      </w:r>
      <w:r w:rsidR="00E87DB5">
        <w:t xml:space="preserve"> budget.  For example, </w:t>
      </w:r>
      <w:r w:rsidR="005A3B7B">
        <w:t>we</w:t>
      </w:r>
      <w:r w:rsidR="00E87DB5" w:rsidRPr="00E87DB5">
        <w:t xml:space="preserve"> use funds provided by a local charity to provide counselling, at an annual cost of £12,000.</w:t>
      </w:r>
      <w:r w:rsidR="00E87DB5">
        <w:t xml:space="preserve">  This operates within our Gateway </w:t>
      </w:r>
      <w:r w:rsidR="00153DF8">
        <w:t>cottage, where many other programmes are in place to help students manage their motivation and emotional well-being, for example anger m</w:t>
      </w:r>
      <w:r w:rsidR="000242C5">
        <w:t>anagement, bereavement support and work on self esteem</w:t>
      </w:r>
      <w:r w:rsidR="00153DF8">
        <w:t>.</w:t>
      </w:r>
    </w:p>
    <w:p w:rsidR="00153DF8" w:rsidRDefault="00153DF8" w:rsidP="007D7C04"/>
    <w:p w:rsidR="00153DF8" w:rsidRDefault="00153DF8" w:rsidP="007D7C04">
      <w:r>
        <w:t xml:space="preserve">Success that we have in supporting vulnerable students to achieve is always the sum total of a wide range </w:t>
      </w:r>
      <w:r w:rsidR="000242C5">
        <w:t>of</w:t>
      </w:r>
      <w:r>
        <w:t xml:space="preserve"> effective strategies, which are carefully led and managed.</w:t>
      </w:r>
      <w:r w:rsidR="005A3B7B">
        <w:t xml:space="preserve">  We have achieved success in:</w:t>
      </w:r>
    </w:p>
    <w:p w:rsidR="005A3B7B" w:rsidRDefault="005A3B7B" w:rsidP="005A3B7B">
      <w:pPr>
        <w:pStyle w:val="ListParagraph"/>
        <w:numPr>
          <w:ilvl w:val="0"/>
          <w:numId w:val="11"/>
        </w:numPr>
      </w:pPr>
      <w:r>
        <w:t>Reducing fixed term exclusions</w:t>
      </w:r>
    </w:p>
    <w:p w:rsidR="005A3B7B" w:rsidRDefault="005A3B7B" w:rsidP="005A3B7B">
      <w:pPr>
        <w:pStyle w:val="ListParagraph"/>
        <w:numPr>
          <w:ilvl w:val="0"/>
          <w:numId w:val="11"/>
        </w:numPr>
      </w:pPr>
      <w:r>
        <w:t>Securing family engagement, in particular through our Family Support Key Workers</w:t>
      </w:r>
    </w:p>
    <w:p w:rsidR="005A3B7B" w:rsidRDefault="005A3B7B" w:rsidP="005A3B7B">
      <w:pPr>
        <w:pStyle w:val="ListParagraph"/>
        <w:numPr>
          <w:ilvl w:val="0"/>
          <w:numId w:val="11"/>
        </w:numPr>
      </w:pPr>
      <w:r>
        <w:t>Increasing opportunities for trips, through securing funding for individuals from a local charity</w:t>
      </w:r>
    </w:p>
    <w:p w:rsidR="005A3B7B" w:rsidRDefault="005A3B7B" w:rsidP="005A3B7B">
      <w:pPr>
        <w:pStyle w:val="ListParagraph"/>
        <w:numPr>
          <w:ilvl w:val="0"/>
          <w:numId w:val="11"/>
        </w:numPr>
      </w:pPr>
      <w:r>
        <w:t>Securing effective transition, through our Pioneer and Pioneer Plus programmes</w:t>
      </w:r>
    </w:p>
    <w:p w:rsidR="005A3B7B" w:rsidRDefault="005A3B7B" w:rsidP="005A3B7B">
      <w:pPr>
        <w:pStyle w:val="ListParagraph"/>
        <w:numPr>
          <w:ilvl w:val="0"/>
          <w:numId w:val="11"/>
        </w:numPr>
      </w:pPr>
      <w:r>
        <w:t>Securing sustained destinations, through our careers guidance</w:t>
      </w:r>
    </w:p>
    <w:p w:rsidR="00A64346" w:rsidRDefault="00A64346" w:rsidP="007D7C04"/>
    <w:p w:rsidR="00A64346" w:rsidRDefault="00A64346" w:rsidP="007D7C04">
      <w:r>
        <w:t>The tables below show which specific interventions each disadvantaged student ac</w:t>
      </w:r>
      <w:r w:rsidR="00E73AE7">
        <w:t xml:space="preserve">cessed in the academic year </w:t>
      </w:r>
      <w:r w:rsidR="000F7609">
        <w:t>2017-18</w:t>
      </w:r>
      <w:r>
        <w:t xml:space="preserve">.  In addition all accessed </w:t>
      </w:r>
      <w:r w:rsidRPr="005C0306">
        <w:t>regular and individual progress management, mentoring, advice and personal support</w:t>
      </w:r>
      <w:r>
        <w:t xml:space="preserve"> through the House system.</w:t>
      </w:r>
    </w:p>
    <w:p w:rsidR="00A64346" w:rsidRDefault="00A64346" w:rsidP="007D7C04"/>
    <w:p w:rsidR="00711BBB" w:rsidRDefault="00711BBB" w:rsidP="007D7C04">
      <w:r>
        <w:t>Explanation of interventions:</w:t>
      </w:r>
    </w:p>
    <w:p w:rsidR="00711BBB" w:rsidRDefault="00711BBB" w:rsidP="007D7C04">
      <w:r>
        <w:t>A&amp;G</w:t>
      </w:r>
      <w:r>
        <w:tab/>
      </w:r>
      <w:r>
        <w:tab/>
      </w:r>
      <w:r>
        <w:tab/>
        <w:t>Advice and Guidance</w:t>
      </w:r>
    </w:p>
    <w:p w:rsidR="00711BBB" w:rsidRDefault="00711BBB" w:rsidP="007D7C04">
      <w:r>
        <w:t>FSKW</w:t>
      </w:r>
      <w:r>
        <w:tab/>
      </w:r>
      <w:r>
        <w:tab/>
      </w:r>
      <w:r>
        <w:tab/>
        <w:t>Family Support Key Worker</w:t>
      </w:r>
      <w:r>
        <w:br/>
        <w:t>EWB/ELSA</w:t>
      </w:r>
      <w:r>
        <w:tab/>
      </w:r>
      <w:r>
        <w:tab/>
        <w:t>Emotional well-being</w:t>
      </w:r>
    </w:p>
    <w:p w:rsidR="00711BBB" w:rsidRDefault="00711BBB" w:rsidP="007D7C04">
      <w:r>
        <w:t>LS Boosters</w:t>
      </w:r>
      <w:r>
        <w:tab/>
      </w:r>
      <w:r>
        <w:tab/>
        <w:t>Learning Support Boosters</w:t>
      </w:r>
    </w:p>
    <w:p w:rsidR="00711BBB" w:rsidRDefault="00711BBB" w:rsidP="007D7C04">
      <w:r>
        <w:t>TPA</w:t>
      </w:r>
      <w:r>
        <w:tab/>
      </w:r>
      <w:r>
        <w:tab/>
      </w:r>
      <w:r>
        <w:tab/>
        <w:t>One-to-one session with tutor</w:t>
      </w:r>
    </w:p>
    <w:p w:rsidR="00711BBB" w:rsidRDefault="000F7609" w:rsidP="007D7C04">
      <w:r>
        <w:t>EHA/TAF</w:t>
      </w:r>
      <w:r w:rsidR="00711BBB">
        <w:tab/>
      </w:r>
      <w:r w:rsidR="00711BBB">
        <w:tab/>
      </w:r>
      <w:r>
        <w:t>Early Help Assessment, Team A</w:t>
      </w:r>
      <w:r w:rsidR="00711BBB">
        <w:t xml:space="preserve">round the </w:t>
      </w:r>
      <w:r>
        <w:t>Family</w:t>
      </w:r>
    </w:p>
    <w:p w:rsidR="00711BBB" w:rsidRDefault="00711BBB" w:rsidP="007D7C04">
      <w:r>
        <w:t>BYOD support</w:t>
      </w:r>
      <w:r>
        <w:tab/>
      </w:r>
      <w:r>
        <w:tab/>
        <w:t>Bring-Your-Own-Device support</w:t>
      </w:r>
    </w:p>
    <w:p w:rsidR="00555C70" w:rsidRDefault="00555C70">
      <w:pPr>
        <w:rPr>
          <w:b/>
        </w:rPr>
        <w:sectPr w:rsidR="00555C70" w:rsidSect="002A1C19">
          <w:pgSz w:w="11906" w:h="16838"/>
          <w:pgMar w:top="851" w:right="851" w:bottom="1077" w:left="851" w:header="709" w:footer="709" w:gutter="0"/>
          <w:cols w:space="708"/>
          <w:docGrid w:linePitch="360"/>
        </w:sectPr>
      </w:pPr>
    </w:p>
    <w:p w:rsidR="00A64346" w:rsidRPr="00345F10" w:rsidRDefault="00A64346">
      <w:pPr>
        <w:rPr>
          <w:b/>
        </w:rPr>
      </w:pPr>
      <w:r w:rsidRPr="00345F10">
        <w:rPr>
          <w:b/>
        </w:rPr>
        <w:lastRenderedPageBreak/>
        <w:t>Year 7</w:t>
      </w:r>
    </w:p>
    <w:p w:rsidR="00A64346" w:rsidRDefault="00A64346"/>
    <w:p w:rsidR="00555C70" w:rsidRDefault="00555C70">
      <w:r w:rsidRPr="00555C70">
        <w:rPr>
          <w:noProof/>
          <w:lang w:eastAsia="en-GB"/>
        </w:rPr>
        <w:drawing>
          <wp:inline distT="0" distB="0" distL="0" distR="0">
            <wp:extent cx="9467850" cy="497692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9467850" cy="4976927"/>
                    </a:xfrm>
                    <a:prstGeom prst="rect">
                      <a:avLst/>
                    </a:prstGeom>
                    <a:noFill/>
                    <a:ln w="9525">
                      <a:noFill/>
                      <a:miter lim="800000"/>
                      <a:headEnd/>
                      <a:tailEnd/>
                    </a:ln>
                  </pic:spPr>
                </pic:pic>
              </a:graphicData>
            </a:graphic>
          </wp:inline>
        </w:drawing>
      </w:r>
    </w:p>
    <w:p w:rsidR="00A64346" w:rsidRDefault="00A64346">
      <w:r w:rsidRPr="00A64346">
        <w:t xml:space="preserve"> </w:t>
      </w:r>
      <w:r>
        <w:br w:type="page"/>
      </w:r>
    </w:p>
    <w:p w:rsidR="00A64346" w:rsidRPr="00345F10" w:rsidRDefault="00A64346">
      <w:pPr>
        <w:rPr>
          <w:b/>
        </w:rPr>
      </w:pPr>
      <w:r w:rsidRPr="00345F10">
        <w:rPr>
          <w:b/>
        </w:rPr>
        <w:lastRenderedPageBreak/>
        <w:t>Year 8</w:t>
      </w:r>
    </w:p>
    <w:p w:rsidR="00345F10" w:rsidRDefault="00345F10"/>
    <w:p w:rsidR="00345F10" w:rsidRDefault="00555C70">
      <w:r w:rsidRPr="00555C70">
        <w:rPr>
          <w:noProof/>
          <w:lang w:eastAsia="en-GB"/>
        </w:rPr>
        <w:drawing>
          <wp:inline distT="0" distB="0" distL="0" distR="0">
            <wp:extent cx="9467850" cy="53564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9467850" cy="5356485"/>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9</w:t>
      </w:r>
    </w:p>
    <w:p w:rsidR="00345F10" w:rsidRDefault="00345F10"/>
    <w:p w:rsidR="00345F10" w:rsidRDefault="00555C70">
      <w:r w:rsidRPr="00555C70">
        <w:rPr>
          <w:noProof/>
          <w:lang w:eastAsia="en-GB"/>
        </w:rPr>
        <w:drawing>
          <wp:inline distT="0" distB="0" distL="0" distR="0">
            <wp:extent cx="9467850" cy="4733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9467850" cy="4733925"/>
                    </a:xfrm>
                    <a:prstGeom prst="rect">
                      <a:avLst/>
                    </a:prstGeom>
                    <a:noFill/>
                    <a:ln w="9525">
                      <a:noFill/>
                      <a:miter lim="800000"/>
                      <a:headEnd/>
                      <a:tailEnd/>
                    </a:ln>
                  </pic:spPr>
                </pic:pic>
              </a:graphicData>
            </a:graphic>
          </wp:inline>
        </w:drawing>
      </w:r>
    </w:p>
    <w:p w:rsidR="00345F10" w:rsidRDefault="00345F10">
      <w:r>
        <w:br w:type="page"/>
      </w:r>
    </w:p>
    <w:p w:rsidR="00345F10" w:rsidRPr="00345F10" w:rsidRDefault="00345F10">
      <w:pPr>
        <w:rPr>
          <w:b/>
        </w:rPr>
      </w:pPr>
      <w:r w:rsidRPr="00345F10">
        <w:rPr>
          <w:b/>
        </w:rPr>
        <w:lastRenderedPageBreak/>
        <w:t>Year 10</w:t>
      </w:r>
    </w:p>
    <w:p w:rsidR="00345F10" w:rsidRDefault="00345F10"/>
    <w:p w:rsidR="00C508A0" w:rsidRDefault="00555C70">
      <w:r w:rsidRPr="00555C70">
        <w:rPr>
          <w:noProof/>
          <w:lang w:eastAsia="en-GB"/>
        </w:rPr>
        <w:drawing>
          <wp:inline distT="0" distB="0" distL="0" distR="0">
            <wp:extent cx="9467850" cy="517608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9467850" cy="5176088"/>
                    </a:xfrm>
                    <a:prstGeom prst="rect">
                      <a:avLst/>
                    </a:prstGeom>
                    <a:noFill/>
                    <a:ln w="9525">
                      <a:noFill/>
                      <a:miter lim="800000"/>
                      <a:headEnd/>
                      <a:tailEnd/>
                    </a:ln>
                  </pic:spPr>
                </pic:pic>
              </a:graphicData>
            </a:graphic>
          </wp:inline>
        </w:drawing>
      </w:r>
    </w:p>
    <w:p w:rsidR="00C508A0" w:rsidRDefault="00C508A0">
      <w:r>
        <w:br w:type="page"/>
      </w:r>
    </w:p>
    <w:p w:rsidR="00C508A0" w:rsidRPr="00C508A0" w:rsidRDefault="00C508A0">
      <w:pPr>
        <w:rPr>
          <w:b/>
        </w:rPr>
      </w:pPr>
      <w:r w:rsidRPr="00C508A0">
        <w:rPr>
          <w:b/>
        </w:rPr>
        <w:lastRenderedPageBreak/>
        <w:t>Year 11</w:t>
      </w:r>
    </w:p>
    <w:p w:rsidR="00C508A0" w:rsidRDefault="00C508A0"/>
    <w:p w:rsidR="00C508A0" w:rsidRDefault="00FF78A4">
      <w:r w:rsidRPr="00FF78A4">
        <w:rPr>
          <w:noProof/>
          <w:lang w:eastAsia="en-GB"/>
        </w:rPr>
        <w:drawing>
          <wp:inline distT="0" distB="0" distL="0" distR="0">
            <wp:extent cx="9467850" cy="478633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9467850" cy="4786330"/>
                    </a:xfrm>
                    <a:prstGeom prst="rect">
                      <a:avLst/>
                    </a:prstGeom>
                    <a:noFill/>
                    <a:ln w="9525">
                      <a:noFill/>
                      <a:miter lim="800000"/>
                      <a:headEnd/>
                      <a:tailEnd/>
                    </a:ln>
                  </pic:spPr>
                </pic:pic>
              </a:graphicData>
            </a:graphic>
          </wp:inline>
        </w:drawing>
      </w:r>
    </w:p>
    <w:p w:rsidR="00FF78A4" w:rsidRDefault="00FF78A4">
      <w:pPr>
        <w:sectPr w:rsidR="00FF78A4" w:rsidSect="00555C70">
          <w:pgSz w:w="16838" w:h="11906" w:orient="landscape"/>
          <w:pgMar w:top="851" w:right="851" w:bottom="851" w:left="1077" w:header="709" w:footer="709" w:gutter="0"/>
          <w:cols w:space="708"/>
          <w:docGrid w:linePitch="360"/>
        </w:sectPr>
      </w:pPr>
    </w:p>
    <w:p w:rsidR="007D7C04" w:rsidRPr="008C0B94" w:rsidRDefault="007D7C04">
      <w:r w:rsidRPr="008C0B94">
        <w:lastRenderedPageBreak/>
        <w:t xml:space="preserve">The impact of the expenditure on the educational attainment </w:t>
      </w:r>
      <w:r w:rsidR="00FC3999" w:rsidRPr="008C0B94">
        <w:t>on pupils at the school:</w:t>
      </w:r>
    </w:p>
    <w:p w:rsidR="00FC3999" w:rsidRPr="008C0B94" w:rsidRDefault="00FC3999"/>
    <w:p w:rsidR="00AC0070" w:rsidRPr="008C0B94" w:rsidRDefault="00AC0070" w:rsidP="00AC0070">
      <w:pPr>
        <w:rPr>
          <w:b/>
          <w:i/>
        </w:rPr>
      </w:pPr>
      <w:r w:rsidRPr="008C0B94">
        <w:rPr>
          <w:b/>
        </w:rPr>
        <w:t xml:space="preserve">1 to 1 tutoring </w:t>
      </w:r>
    </w:p>
    <w:p w:rsidR="00AC0070" w:rsidRPr="008C0B94" w:rsidRDefault="00AC0070" w:rsidP="00AC0070"/>
    <w:p w:rsidR="00376C2F" w:rsidRPr="008C0B94" w:rsidRDefault="004F13F3" w:rsidP="00376C2F">
      <w:pPr>
        <w:rPr>
          <w:u w:val="single"/>
        </w:rPr>
      </w:pPr>
      <w:r>
        <w:rPr>
          <w:u w:val="single"/>
        </w:rPr>
        <w:t>Academic Year 2017-18</w:t>
      </w:r>
    </w:p>
    <w:p w:rsidR="00376C2F" w:rsidRDefault="00376C2F" w:rsidP="00376C2F"/>
    <w:p w:rsidR="004F13F3" w:rsidRPr="004F13F3" w:rsidRDefault="004F13F3" w:rsidP="00376C2F">
      <w:pPr>
        <w:rPr>
          <w:i/>
        </w:rPr>
      </w:pPr>
      <w:r>
        <w:t xml:space="preserve">English and mathematics intervention – Years 7-9 </w:t>
      </w:r>
      <w:r>
        <w:rPr>
          <w:i/>
        </w:rPr>
        <w:t>– see report on Year 7 Catch-up Premium</w:t>
      </w:r>
    </w:p>
    <w:p w:rsidR="004F13F3" w:rsidRDefault="004F13F3" w:rsidP="00376C2F"/>
    <w:p w:rsidR="004F13F3" w:rsidRDefault="004F13F3" w:rsidP="00376C2F">
      <w:r>
        <w:t>English and mathematics intervention - GCSE</w:t>
      </w:r>
    </w:p>
    <w:p w:rsidR="004F13F3" w:rsidRDefault="004F13F3" w:rsidP="00376C2F"/>
    <w:p w:rsidR="004F13F3" w:rsidRDefault="004F13F3" w:rsidP="00376C2F">
      <w:r>
        <w:t>Students were able to opt for additional English and mathematics as one of their option choices.  Students whom data suggested would benefit for this, with a particular focus on those eligible for Pupil Premium, received targeted information through the options process.  Eight of the 17 disadvantaged students chose this option.</w:t>
      </w:r>
    </w:p>
    <w:p w:rsidR="004F13F3" w:rsidRDefault="004F13F3" w:rsidP="00376C2F"/>
    <w:p w:rsidR="004F13F3" w:rsidRDefault="004F13F3" w:rsidP="00376C2F">
      <w:r>
        <w:t>The table below shows the progress made (in GCSE grades) from Year 9 term 6 to Year 10 term 6:</w:t>
      </w:r>
    </w:p>
    <w:p w:rsidR="004F13F3" w:rsidRDefault="004F13F3" w:rsidP="00376C2F"/>
    <w:tbl>
      <w:tblPr>
        <w:tblStyle w:val="TableGrid"/>
        <w:tblW w:w="0" w:type="auto"/>
        <w:tblLook w:val="04A0" w:firstRow="1" w:lastRow="0" w:firstColumn="1" w:lastColumn="0" w:noHBand="0" w:noVBand="1"/>
      </w:tblPr>
      <w:tblGrid>
        <w:gridCol w:w="3404"/>
        <w:gridCol w:w="3384"/>
        <w:gridCol w:w="3406"/>
      </w:tblGrid>
      <w:tr w:rsidR="004F13F3" w:rsidRPr="004F13F3" w:rsidTr="004F13F3">
        <w:tc>
          <w:tcPr>
            <w:tcW w:w="3473" w:type="dxa"/>
          </w:tcPr>
          <w:p w:rsidR="004F13F3" w:rsidRPr="004F13F3" w:rsidRDefault="004F13F3" w:rsidP="00376C2F">
            <w:pPr>
              <w:rPr>
                <w:b/>
              </w:rPr>
            </w:pPr>
          </w:p>
        </w:tc>
        <w:tc>
          <w:tcPr>
            <w:tcW w:w="3473" w:type="dxa"/>
          </w:tcPr>
          <w:p w:rsidR="004F13F3" w:rsidRPr="004F13F3" w:rsidRDefault="004F13F3" w:rsidP="00376C2F">
            <w:pPr>
              <w:rPr>
                <w:b/>
              </w:rPr>
            </w:pPr>
            <w:r w:rsidRPr="004F13F3">
              <w:rPr>
                <w:b/>
              </w:rPr>
              <w:t>English</w:t>
            </w:r>
          </w:p>
        </w:tc>
        <w:tc>
          <w:tcPr>
            <w:tcW w:w="3474" w:type="dxa"/>
          </w:tcPr>
          <w:p w:rsidR="004F13F3" w:rsidRPr="004F13F3" w:rsidRDefault="004F13F3" w:rsidP="00376C2F">
            <w:pPr>
              <w:rPr>
                <w:b/>
              </w:rPr>
            </w:pPr>
            <w:r w:rsidRPr="004F13F3">
              <w:rPr>
                <w:b/>
              </w:rPr>
              <w:t>Mathematics</w:t>
            </w:r>
          </w:p>
        </w:tc>
      </w:tr>
      <w:tr w:rsidR="004F13F3" w:rsidTr="004F13F3">
        <w:tc>
          <w:tcPr>
            <w:tcW w:w="3473" w:type="dxa"/>
          </w:tcPr>
          <w:p w:rsidR="004F13F3" w:rsidRDefault="004F13F3" w:rsidP="00376C2F">
            <w:r>
              <w:t>All students</w:t>
            </w:r>
          </w:p>
        </w:tc>
        <w:tc>
          <w:tcPr>
            <w:tcW w:w="3473" w:type="dxa"/>
          </w:tcPr>
          <w:p w:rsidR="004F13F3" w:rsidRDefault="004F13F3" w:rsidP="00376C2F">
            <w:r>
              <w:t>0.96</w:t>
            </w:r>
          </w:p>
        </w:tc>
        <w:tc>
          <w:tcPr>
            <w:tcW w:w="3474" w:type="dxa"/>
          </w:tcPr>
          <w:p w:rsidR="004F13F3" w:rsidRDefault="004F13F3" w:rsidP="00376C2F">
            <w:r>
              <w:t>1.76</w:t>
            </w:r>
          </w:p>
        </w:tc>
      </w:tr>
      <w:tr w:rsidR="004F13F3" w:rsidTr="004F13F3">
        <w:tc>
          <w:tcPr>
            <w:tcW w:w="3473" w:type="dxa"/>
          </w:tcPr>
          <w:p w:rsidR="004F13F3" w:rsidRDefault="004F13F3" w:rsidP="00376C2F">
            <w:r>
              <w:t>Student taking additional En+Ma</w:t>
            </w:r>
          </w:p>
        </w:tc>
        <w:tc>
          <w:tcPr>
            <w:tcW w:w="3473" w:type="dxa"/>
          </w:tcPr>
          <w:p w:rsidR="004F13F3" w:rsidRDefault="004F13F3" w:rsidP="00376C2F">
            <w:r>
              <w:t>0.73</w:t>
            </w:r>
          </w:p>
        </w:tc>
        <w:tc>
          <w:tcPr>
            <w:tcW w:w="3474" w:type="dxa"/>
          </w:tcPr>
          <w:p w:rsidR="004F13F3" w:rsidRDefault="004F13F3" w:rsidP="00376C2F">
            <w:r>
              <w:t>1.79</w:t>
            </w:r>
          </w:p>
        </w:tc>
      </w:tr>
      <w:tr w:rsidR="004F13F3" w:rsidTr="004F13F3">
        <w:tc>
          <w:tcPr>
            <w:tcW w:w="3473" w:type="dxa"/>
          </w:tcPr>
          <w:p w:rsidR="004F13F3" w:rsidRDefault="004F13F3" w:rsidP="00376C2F">
            <w:r>
              <w:t>Disadvantaged students taking additional En+Ma</w:t>
            </w:r>
          </w:p>
        </w:tc>
        <w:tc>
          <w:tcPr>
            <w:tcW w:w="3473" w:type="dxa"/>
          </w:tcPr>
          <w:p w:rsidR="004F13F3" w:rsidRDefault="004F13F3" w:rsidP="00376C2F">
            <w:r>
              <w:t>0.62</w:t>
            </w:r>
          </w:p>
        </w:tc>
        <w:tc>
          <w:tcPr>
            <w:tcW w:w="3474" w:type="dxa"/>
          </w:tcPr>
          <w:p w:rsidR="004F13F3" w:rsidRDefault="004F13F3" w:rsidP="00376C2F">
            <w:r>
              <w:t>1.43</w:t>
            </w:r>
          </w:p>
        </w:tc>
      </w:tr>
    </w:tbl>
    <w:p w:rsidR="004F13F3" w:rsidRDefault="004F13F3" w:rsidP="00376C2F"/>
    <w:p w:rsidR="004F13F3" w:rsidRDefault="004F13F3" w:rsidP="00376C2F"/>
    <w:p w:rsidR="004F13F3" w:rsidRPr="008C0B94" w:rsidRDefault="004F13F3" w:rsidP="00376C2F"/>
    <w:p w:rsidR="00376C2F" w:rsidRDefault="00376C2F" w:rsidP="00376C2F">
      <w:pPr>
        <w:rPr>
          <w:b/>
        </w:rPr>
      </w:pPr>
      <w:r>
        <w:rPr>
          <w:b/>
        </w:rPr>
        <w:br w:type="page"/>
      </w:r>
    </w:p>
    <w:p w:rsidR="00841250" w:rsidRPr="00841250" w:rsidRDefault="00841250" w:rsidP="00841250">
      <w:r w:rsidRPr="00841250">
        <w:lastRenderedPageBreak/>
        <w:t>The impact of the expenditure on the educational attainment on pupils at the school:</w:t>
      </w:r>
    </w:p>
    <w:p w:rsidR="00841250" w:rsidRPr="00841250" w:rsidRDefault="00841250" w:rsidP="00841250"/>
    <w:p w:rsidR="00FC3999" w:rsidRPr="00841250" w:rsidRDefault="0000197F">
      <w:pPr>
        <w:rPr>
          <w:b/>
        </w:rPr>
      </w:pPr>
      <w:r w:rsidRPr="00841250">
        <w:rPr>
          <w:b/>
        </w:rPr>
        <w:t>Alternative Curriculum</w:t>
      </w:r>
    </w:p>
    <w:p w:rsidR="0000197F" w:rsidRPr="00841250" w:rsidRDefault="0000197F"/>
    <w:p w:rsidR="0000197F" w:rsidRPr="00841250" w:rsidRDefault="0000197F" w:rsidP="0000197F">
      <w:r w:rsidRPr="00841250">
        <w:t>Skillforce</w:t>
      </w:r>
    </w:p>
    <w:tbl>
      <w:tblPr>
        <w:tblStyle w:val="TableGrid"/>
        <w:tblW w:w="9322" w:type="dxa"/>
        <w:tblLayout w:type="fixed"/>
        <w:tblLook w:val="04A0" w:firstRow="1" w:lastRow="0" w:firstColumn="1" w:lastColumn="0" w:noHBand="0" w:noVBand="1"/>
      </w:tblPr>
      <w:tblGrid>
        <w:gridCol w:w="1083"/>
        <w:gridCol w:w="2343"/>
        <w:gridCol w:w="2239"/>
        <w:gridCol w:w="3657"/>
      </w:tblGrid>
      <w:tr w:rsidR="007B3636" w:rsidRPr="00841250" w:rsidTr="007B3636">
        <w:trPr>
          <w:tblHeader/>
        </w:trPr>
        <w:tc>
          <w:tcPr>
            <w:tcW w:w="1083" w:type="dxa"/>
          </w:tcPr>
          <w:p w:rsidR="007B3636" w:rsidRPr="00841250" w:rsidRDefault="007B3636" w:rsidP="00461B8D">
            <w:pPr>
              <w:jc w:val="center"/>
              <w:rPr>
                <w:b/>
              </w:rPr>
            </w:pPr>
            <w:r w:rsidRPr="00841250">
              <w:rPr>
                <w:b/>
              </w:rPr>
              <w:t>Year</w:t>
            </w:r>
          </w:p>
        </w:tc>
        <w:tc>
          <w:tcPr>
            <w:tcW w:w="2343" w:type="dxa"/>
          </w:tcPr>
          <w:p w:rsidR="007B3636" w:rsidRPr="00841250" w:rsidRDefault="007B3636" w:rsidP="00461B8D">
            <w:pPr>
              <w:jc w:val="center"/>
              <w:rPr>
                <w:b/>
              </w:rPr>
            </w:pPr>
            <w:r w:rsidRPr="00841250">
              <w:rPr>
                <w:b/>
              </w:rPr>
              <w:t>Number of students</w:t>
            </w:r>
          </w:p>
        </w:tc>
        <w:tc>
          <w:tcPr>
            <w:tcW w:w="2239" w:type="dxa"/>
          </w:tcPr>
          <w:p w:rsidR="007B3636" w:rsidRPr="00841250" w:rsidRDefault="007B3636" w:rsidP="00461B8D">
            <w:pPr>
              <w:jc w:val="center"/>
              <w:rPr>
                <w:b/>
              </w:rPr>
            </w:pPr>
            <w:r w:rsidRPr="00841250">
              <w:rPr>
                <w:b/>
              </w:rPr>
              <w:t>GCSE equivalence</w:t>
            </w:r>
          </w:p>
        </w:tc>
        <w:tc>
          <w:tcPr>
            <w:tcW w:w="3657" w:type="dxa"/>
          </w:tcPr>
          <w:p w:rsidR="007B3636" w:rsidRPr="00841250" w:rsidRDefault="007B3636" w:rsidP="00461B8D">
            <w:pPr>
              <w:jc w:val="center"/>
              <w:rPr>
                <w:b/>
              </w:rPr>
            </w:pPr>
            <w:r w:rsidRPr="00841250">
              <w:rPr>
                <w:b/>
              </w:rPr>
              <w:t>Grades</w:t>
            </w:r>
          </w:p>
        </w:tc>
      </w:tr>
      <w:tr w:rsidR="007B3636" w:rsidRPr="007B3636" w:rsidTr="007B3636">
        <w:trPr>
          <w:cantSplit/>
        </w:trPr>
        <w:tc>
          <w:tcPr>
            <w:tcW w:w="1083" w:type="dxa"/>
          </w:tcPr>
          <w:p w:rsidR="007B3636" w:rsidRPr="007B3636" w:rsidRDefault="007B3636" w:rsidP="00E40729">
            <w:r w:rsidRPr="007B3636">
              <w:t>2017-18</w:t>
            </w:r>
          </w:p>
        </w:tc>
        <w:tc>
          <w:tcPr>
            <w:tcW w:w="2343" w:type="dxa"/>
          </w:tcPr>
          <w:p w:rsidR="007B3636" w:rsidRPr="007B3636" w:rsidRDefault="007B3636" w:rsidP="00461B8D">
            <w:pPr>
              <w:jc w:val="center"/>
            </w:pPr>
            <w:r w:rsidRPr="007B3636">
              <w:t>8</w:t>
            </w:r>
          </w:p>
        </w:tc>
        <w:tc>
          <w:tcPr>
            <w:tcW w:w="2239" w:type="dxa"/>
          </w:tcPr>
          <w:p w:rsidR="007B3636" w:rsidRPr="007B3636" w:rsidRDefault="007B3636" w:rsidP="00461B8D">
            <w:pPr>
              <w:jc w:val="center"/>
            </w:pPr>
            <w:r w:rsidRPr="007B3636">
              <w:t>None</w:t>
            </w:r>
          </w:p>
        </w:tc>
        <w:tc>
          <w:tcPr>
            <w:tcW w:w="3657" w:type="dxa"/>
          </w:tcPr>
          <w:p w:rsidR="007B3636" w:rsidRPr="007B3636" w:rsidRDefault="007B3636" w:rsidP="00100CB5">
            <w:r w:rsidRPr="007B3636">
              <w:t>All achieved:</w:t>
            </w:r>
          </w:p>
          <w:p w:rsidR="007B3636" w:rsidRPr="007B3636" w:rsidRDefault="007B3636" w:rsidP="007B3636">
            <w:pPr>
              <w:pStyle w:val="ListParagraph"/>
              <w:numPr>
                <w:ilvl w:val="0"/>
                <w:numId w:val="13"/>
              </w:numPr>
              <w:shd w:val="clear" w:color="auto" w:fill="FFFFFF"/>
              <w:rPr>
                <w:rFonts w:eastAsia="Times New Roman" w:cs="Times New Roman"/>
                <w:lang w:eastAsia="en-GB"/>
              </w:rPr>
            </w:pPr>
            <w:r w:rsidRPr="007B3636">
              <w:rPr>
                <w:rFonts w:eastAsia="Times New Roman" w:cs="Times New Roman"/>
                <w:lang w:eastAsia="en-GB"/>
              </w:rPr>
              <w:t>ASDAN Level 2 Wider Key Skills in Improving Own Learning &amp; Performance, and Working With Others</w:t>
            </w:r>
          </w:p>
          <w:p w:rsidR="007B3636" w:rsidRPr="007B3636" w:rsidRDefault="007B3636" w:rsidP="007B3636">
            <w:pPr>
              <w:pStyle w:val="ListParagraph"/>
              <w:numPr>
                <w:ilvl w:val="0"/>
                <w:numId w:val="13"/>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ASDAN Level 2 ASDAN Adventure &amp; Residential Award</w:t>
            </w:r>
          </w:p>
          <w:p w:rsidR="007B3636" w:rsidRPr="007B3636" w:rsidRDefault="007B3636" w:rsidP="007B3636">
            <w:pPr>
              <w:pStyle w:val="ListParagraph"/>
              <w:numPr>
                <w:ilvl w:val="0"/>
                <w:numId w:val="13"/>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St John's Ambulance Young Life Saver</w:t>
            </w:r>
          </w:p>
          <w:p w:rsidR="007B3636" w:rsidRPr="007B3636" w:rsidRDefault="007B3636" w:rsidP="007B3636">
            <w:pPr>
              <w:pStyle w:val="ListParagraph"/>
              <w:numPr>
                <w:ilvl w:val="0"/>
                <w:numId w:val="13"/>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NNAS Bronze Navigation Award</w:t>
            </w:r>
          </w:p>
          <w:p w:rsidR="007B3636" w:rsidRPr="007B3636" w:rsidRDefault="007B3636" w:rsidP="00100CB5"/>
          <w:p w:rsidR="007B3636" w:rsidRPr="007B3636" w:rsidRDefault="007B3636" w:rsidP="00100CB5">
            <w:r w:rsidRPr="007B3636">
              <w:t>7 of the 8 achieved:</w:t>
            </w:r>
          </w:p>
          <w:p w:rsidR="007B3636" w:rsidRPr="007B3636" w:rsidRDefault="007B3636" w:rsidP="007B3636">
            <w:pPr>
              <w:pStyle w:val="ListParagraph"/>
              <w:numPr>
                <w:ilvl w:val="0"/>
                <w:numId w:val="14"/>
              </w:numPr>
              <w:shd w:val="clear" w:color="auto" w:fill="FFFFFF"/>
              <w:rPr>
                <w:rFonts w:ascii="Trebuchet MS" w:eastAsia="Times New Roman" w:hAnsi="Trebuchet MS" w:cs="Times New Roman"/>
                <w:sz w:val="24"/>
                <w:szCs w:val="24"/>
                <w:lang w:eastAsia="en-GB"/>
              </w:rPr>
            </w:pPr>
            <w:r w:rsidRPr="007B3636">
              <w:rPr>
                <w:rFonts w:eastAsia="Times New Roman" w:cs="Times New Roman"/>
                <w:lang w:eastAsia="en-GB"/>
              </w:rPr>
              <w:t>Certificate of Personal Effectiveness (CoPE)</w:t>
            </w:r>
          </w:p>
        </w:tc>
      </w:tr>
    </w:tbl>
    <w:p w:rsidR="005C5D6F" w:rsidRDefault="005C5D6F" w:rsidP="0000197F">
      <w:pPr>
        <w:rPr>
          <w:b/>
        </w:rPr>
      </w:pPr>
    </w:p>
    <w:p w:rsidR="00CE0DA3" w:rsidRPr="00E00D12" w:rsidRDefault="00CE0DA3" w:rsidP="0000197F">
      <w:pPr>
        <w:rPr>
          <w:b/>
        </w:rPr>
      </w:pPr>
      <w:r w:rsidRPr="00E00D12">
        <w:rPr>
          <w:b/>
        </w:rPr>
        <w:t>Careers Guidance</w:t>
      </w:r>
    </w:p>
    <w:p w:rsidR="002733A0" w:rsidRDefault="002733A0" w:rsidP="0000197F"/>
    <w:p w:rsidR="00E80F24" w:rsidRPr="001816C9" w:rsidRDefault="004F13F3" w:rsidP="00E80F24">
      <w:pPr>
        <w:pStyle w:val="ListParagraph"/>
        <w:autoSpaceDE w:val="0"/>
        <w:autoSpaceDN w:val="0"/>
        <w:adjustRightInd w:val="0"/>
        <w:ind w:left="0"/>
        <w:rPr>
          <w:rFonts w:cs="Tahoma"/>
        </w:rPr>
      </w:pPr>
      <w:r>
        <w:rPr>
          <w:rFonts w:cs="Tahoma"/>
        </w:rPr>
        <w:t>2018</w:t>
      </w:r>
      <w:r w:rsidR="00E80F24" w:rsidRPr="001816C9">
        <w:rPr>
          <w:rFonts w:cs="Tahoma"/>
        </w:rPr>
        <w:t xml:space="preserve"> Leavers</w:t>
      </w:r>
    </w:p>
    <w:tbl>
      <w:tblPr>
        <w:tblStyle w:val="TableGrid"/>
        <w:tblW w:w="0" w:type="auto"/>
        <w:tblInd w:w="817" w:type="dxa"/>
        <w:tblLook w:val="04A0" w:firstRow="1" w:lastRow="0" w:firstColumn="1" w:lastColumn="0" w:noHBand="0" w:noVBand="1"/>
      </w:tblPr>
      <w:tblGrid>
        <w:gridCol w:w="2613"/>
        <w:gridCol w:w="3373"/>
        <w:gridCol w:w="3391"/>
      </w:tblGrid>
      <w:tr w:rsidR="004F13F3" w:rsidRPr="00034DF9" w:rsidTr="004F13F3">
        <w:tc>
          <w:tcPr>
            <w:tcW w:w="2656" w:type="dxa"/>
          </w:tcPr>
          <w:p w:rsidR="00E80F24" w:rsidRPr="00034DF9" w:rsidRDefault="00E80F24" w:rsidP="004F13F3">
            <w:pPr>
              <w:rPr>
                <w:b/>
              </w:rPr>
            </w:pPr>
          </w:p>
        </w:tc>
        <w:tc>
          <w:tcPr>
            <w:tcW w:w="3473" w:type="dxa"/>
          </w:tcPr>
          <w:p w:rsidR="00E80F24" w:rsidRPr="00034DF9" w:rsidRDefault="00E80F24" w:rsidP="00037A1D">
            <w:pPr>
              <w:rPr>
                <w:b/>
              </w:rPr>
            </w:pPr>
            <w:r w:rsidRPr="00034DF9">
              <w:rPr>
                <w:b/>
              </w:rPr>
              <w:t>Whole cohort (</w:t>
            </w:r>
            <w:r w:rsidR="00037A1D" w:rsidRPr="00034DF9">
              <w:rPr>
                <w:b/>
              </w:rPr>
              <w:t>146</w:t>
            </w:r>
            <w:r w:rsidRPr="00034DF9">
              <w:rPr>
                <w:b/>
              </w:rPr>
              <w:t>)</w:t>
            </w:r>
          </w:p>
        </w:tc>
        <w:tc>
          <w:tcPr>
            <w:tcW w:w="3474" w:type="dxa"/>
          </w:tcPr>
          <w:p w:rsidR="00E80F24" w:rsidRPr="00034DF9" w:rsidRDefault="00E80F24" w:rsidP="004F13F3">
            <w:pPr>
              <w:rPr>
                <w:b/>
              </w:rPr>
            </w:pPr>
            <w:r w:rsidRPr="00034DF9">
              <w:rPr>
                <w:b/>
              </w:rPr>
              <w:t>FSM6/CLA</w:t>
            </w:r>
            <w:r w:rsidR="00034DF9" w:rsidRPr="00034DF9">
              <w:rPr>
                <w:b/>
              </w:rPr>
              <w:t xml:space="preserve"> (16)</w:t>
            </w:r>
          </w:p>
        </w:tc>
      </w:tr>
      <w:tr w:rsidR="004F13F3" w:rsidRPr="00034DF9" w:rsidTr="004F13F3">
        <w:tc>
          <w:tcPr>
            <w:tcW w:w="2656" w:type="dxa"/>
          </w:tcPr>
          <w:p w:rsidR="00E80F24" w:rsidRPr="00034DF9" w:rsidRDefault="00E80F24" w:rsidP="004F13F3">
            <w:r w:rsidRPr="00034DF9">
              <w:t>Education</w:t>
            </w:r>
          </w:p>
        </w:tc>
        <w:tc>
          <w:tcPr>
            <w:tcW w:w="3473" w:type="dxa"/>
          </w:tcPr>
          <w:p w:rsidR="00E80F24" w:rsidRPr="00034DF9" w:rsidRDefault="00E80F24" w:rsidP="004F13F3">
            <w:r w:rsidRPr="00034DF9">
              <w:t>97%</w:t>
            </w:r>
          </w:p>
        </w:tc>
        <w:tc>
          <w:tcPr>
            <w:tcW w:w="3474" w:type="dxa"/>
          </w:tcPr>
          <w:p w:rsidR="00E80F24" w:rsidRPr="00034DF9" w:rsidRDefault="00034DF9" w:rsidP="004F13F3">
            <w:r w:rsidRPr="00034DF9">
              <w:t>14 (88%)</w:t>
            </w:r>
          </w:p>
        </w:tc>
      </w:tr>
      <w:tr w:rsidR="004F13F3" w:rsidRPr="00034DF9" w:rsidTr="004F13F3">
        <w:tc>
          <w:tcPr>
            <w:tcW w:w="2656" w:type="dxa"/>
          </w:tcPr>
          <w:p w:rsidR="00E80F24" w:rsidRPr="00034DF9" w:rsidRDefault="00E80F24" w:rsidP="004F13F3">
            <w:r w:rsidRPr="00034DF9">
              <w:t>Apprenticeship</w:t>
            </w:r>
          </w:p>
        </w:tc>
        <w:tc>
          <w:tcPr>
            <w:tcW w:w="3473" w:type="dxa"/>
          </w:tcPr>
          <w:p w:rsidR="00E80F24" w:rsidRPr="00034DF9" w:rsidRDefault="00037A1D" w:rsidP="004F13F3">
            <w:r w:rsidRPr="00034DF9">
              <w:t>3%</w:t>
            </w:r>
          </w:p>
        </w:tc>
        <w:tc>
          <w:tcPr>
            <w:tcW w:w="3474" w:type="dxa"/>
          </w:tcPr>
          <w:p w:rsidR="00E80F24" w:rsidRPr="00034DF9" w:rsidRDefault="00034DF9" w:rsidP="004F13F3">
            <w:r w:rsidRPr="00034DF9">
              <w:t>1(6%)</w:t>
            </w:r>
          </w:p>
        </w:tc>
      </w:tr>
      <w:tr w:rsidR="004F13F3" w:rsidRPr="00034DF9" w:rsidTr="004F13F3">
        <w:tc>
          <w:tcPr>
            <w:tcW w:w="2656" w:type="dxa"/>
          </w:tcPr>
          <w:p w:rsidR="00E80F24" w:rsidRPr="00034DF9" w:rsidRDefault="00E80F24" w:rsidP="004F13F3">
            <w:r w:rsidRPr="00034DF9">
              <w:t>Employment</w:t>
            </w:r>
          </w:p>
        </w:tc>
        <w:tc>
          <w:tcPr>
            <w:tcW w:w="3473" w:type="dxa"/>
          </w:tcPr>
          <w:p w:rsidR="00E80F24" w:rsidRPr="00034DF9" w:rsidRDefault="00037A1D" w:rsidP="004F13F3">
            <w:r w:rsidRPr="00034DF9">
              <w:t>0%</w:t>
            </w:r>
          </w:p>
        </w:tc>
        <w:tc>
          <w:tcPr>
            <w:tcW w:w="3474" w:type="dxa"/>
          </w:tcPr>
          <w:p w:rsidR="00E80F24" w:rsidRPr="00034DF9" w:rsidRDefault="00034DF9" w:rsidP="004F13F3">
            <w:r w:rsidRPr="00034DF9">
              <w:t>0</w:t>
            </w:r>
          </w:p>
        </w:tc>
      </w:tr>
      <w:tr w:rsidR="004F13F3" w:rsidRPr="00034DF9" w:rsidTr="004F13F3">
        <w:tc>
          <w:tcPr>
            <w:tcW w:w="2656" w:type="dxa"/>
          </w:tcPr>
          <w:p w:rsidR="00E80F24" w:rsidRPr="00034DF9" w:rsidRDefault="00E80F24" w:rsidP="004F13F3">
            <w:r w:rsidRPr="00034DF9">
              <w:t>NEET</w:t>
            </w:r>
          </w:p>
        </w:tc>
        <w:tc>
          <w:tcPr>
            <w:tcW w:w="3473" w:type="dxa"/>
          </w:tcPr>
          <w:p w:rsidR="00E80F24" w:rsidRPr="00034DF9" w:rsidRDefault="00037A1D" w:rsidP="004F13F3">
            <w:r w:rsidRPr="00034DF9">
              <w:t>1%</w:t>
            </w:r>
          </w:p>
        </w:tc>
        <w:tc>
          <w:tcPr>
            <w:tcW w:w="3474" w:type="dxa"/>
          </w:tcPr>
          <w:p w:rsidR="00E80F24" w:rsidRPr="00034DF9" w:rsidRDefault="00E80F24" w:rsidP="004F13F3">
            <w:r w:rsidRPr="00034DF9">
              <w:t xml:space="preserve">1 </w:t>
            </w:r>
            <w:r w:rsidR="00034DF9" w:rsidRPr="00034DF9">
              <w:t>(6%)</w:t>
            </w:r>
          </w:p>
        </w:tc>
      </w:tr>
    </w:tbl>
    <w:p w:rsidR="002345B4" w:rsidRPr="005922D5" w:rsidRDefault="002345B4" w:rsidP="002345B4"/>
    <w:p w:rsidR="002345B4" w:rsidRPr="005922D5" w:rsidRDefault="002345B4" w:rsidP="002345B4">
      <w:r w:rsidRPr="005922D5">
        <w:t xml:space="preserve">Further analysis of the types of courses on which </w:t>
      </w:r>
      <w:r w:rsidR="00034DF9">
        <w:t>FSM6/CLA</w:t>
      </w:r>
      <w:r w:rsidRPr="005922D5">
        <w:t xml:space="preserve"> enrolled:</w:t>
      </w:r>
    </w:p>
    <w:tbl>
      <w:tblPr>
        <w:tblStyle w:val="TableGrid"/>
        <w:tblW w:w="0" w:type="auto"/>
        <w:tblInd w:w="817" w:type="dxa"/>
        <w:tblLook w:val="04A0" w:firstRow="1" w:lastRow="0" w:firstColumn="1" w:lastColumn="0" w:noHBand="0" w:noVBand="1"/>
      </w:tblPr>
      <w:tblGrid>
        <w:gridCol w:w="3368"/>
        <w:gridCol w:w="3402"/>
      </w:tblGrid>
      <w:tr w:rsidR="004F13F3" w:rsidRPr="00034DF9" w:rsidTr="00E80F24">
        <w:tc>
          <w:tcPr>
            <w:tcW w:w="3368" w:type="dxa"/>
          </w:tcPr>
          <w:p w:rsidR="00E80F24" w:rsidRPr="00034DF9" w:rsidRDefault="00E80F24" w:rsidP="004F13F3">
            <w:pPr>
              <w:ind w:firstLine="720"/>
              <w:rPr>
                <w:b/>
              </w:rPr>
            </w:pPr>
          </w:p>
        </w:tc>
        <w:tc>
          <w:tcPr>
            <w:tcW w:w="3402" w:type="dxa"/>
          </w:tcPr>
          <w:p w:rsidR="00E80F24" w:rsidRPr="00034DF9" w:rsidRDefault="00E80F24" w:rsidP="004F13F3">
            <w:pPr>
              <w:rPr>
                <w:b/>
              </w:rPr>
            </w:pPr>
            <w:r w:rsidRPr="00034DF9">
              <w:rPr>
                <w:b/>
              </w:rPr>
              <w:t>Number of students</w:t>
            </w:r>
            <w:r w:rsidR="00034DF9" w:rsidRPr="00034DF9">
              <w:rPr>
                <w:b/>
              </w:rPr>
              <w:t xml:space="preserve"> (16)</w:t>
            </w:r>
          </w:p>
        </w:tc>
      </w:tr>
      <w:tr w:rsidR="004F13F3" w:rsidRPr="00034DF9" w:rsidTr="00E80F24">
        <w:tc>
          <w:tcPr>
            <w:tcW w:w="3368" w:type="dxa"/>
          </w:tcPr>
          <w:p w:rsidR="00E80F24" w:rsidRPr="00034DF9" w:rsidRDefault="00E80F24" w:rsidP="004F13F3">
            <w:r w:rsidRPr="00034DF9">
              <w:t>A levels (Level 3)</w:t>
            </w:r>
          </w:p>
        </w:tc>
        <w:tc>
          <w:tcPr>
            <w:tcW w:w="3402" w:type="dxa"/>
          </w:tcPr>
          <w:p w:rsidR="00E80F24" w:rsidRPr="00034DF9" w:rsidRDefault="00034DF9" w:rsidP="004F13F3">
            <w:r w:rsidRPr="00034DF9">
              <w:t>4</w:t>
            </w:r>
          </w:p>
        </w:tc>
      </w:tr>
      <w:tr w:rsidR="004F13F3" w:rsidRPr="00034DF9" w:rsidTr="00E80F24">
        <w:tc>
          <w:tcPr>
            <w:tcW w:w="3368" w:type="dxa"/>
          </w:tcPr>
          <w:p w:rsidR="00E80F24" w:rsidRPr="00034DF9" w:rsidRDefault="00E80F24" w:rsidP="004F13F3">
            <w:r w:rsidRPr="00034DF9">
              <w:t>Vocational (Level 3)</w:t>
            </w:r>
          </w:p>
        </w:tc>
        <w:tc>
          <w:tcPr>
            <w:tcW w:w="3402" w:type="dxa"/>
          </w:tcPr>
          <w:p w:rsidR="00E80F24" w:rsidRPr="00034DF9" w:rsidRDefault="00034DF9" w:rsidP="004F13F3">
            <w:r w:rsidRPr="00034DF9">
              <w:t>3</w:t>
            </w:r>
          </w:p>
        </w:tc>
      </w:tr>
      <w:tr w:rsidR="004F13F3" w:rsidRPr="00034DF9" w:rsidTr="00E80F24">
        <w:tc>
          <w:tcPr>
            <w:tcW w:w="3368" w:type="dxa"/>
          </w:tcPr>
          <w:p w:rsidR="00E80F24" w:rsidRPr="00034DF9" w:rsidRDefault="00E80F24" w:rsidP="004F13F3">
            <w:r w:rsidRPr="00034DF9">
              <w:t>Vocational (Level 2)</w:t>
            </w:r>
          </w:p>
        </w:tc>
        <w:tc>
          <w:tcPr>
            <w:tcW w:w="3402" w:type="dxa"/>
          </w:tcPr>
          <w:p w:rsidR="00E80F24" w:rsidRPr="00034DF9" w:rsidRDefault="00034DF9" w:rsidP="004F13F3">
            <w:r w:rsidRPr="00034DF9">
              <w:t>2</w:t>
            </w:r>
          </w:p>
        </w:tc>
      </w:tr>
      <w:tr w:rsidR="004F13F3" w:rsidRPr="00034DF9" w:rsidTr="00E80F24">
        <w:tc>
          <w:tcPr>
            <w:tcW w:w="3368" w:type="dxa"/>
          </w:tcPr>
          <w:p w:rsidR="00E80F24" w:rsidRPr="00034DF9" w:rsidRDefault="00E80F24" w:rsidP="004F13F3">
            <w:r w:rsidRPr="00034DF9">
              <w:t>Vocational (Level 1)</w:t>
            </w:r>
          </w:p>
        </w:tc>
        <w:tc>
          <w:tcPr>
            <w:tcW w:w="3402" w:type="dxa"/>
          </w:tcPr>
          <w:p w:rsidR="00E80F24" w:rsidRPr="00034DF9" w:rsidRDefault="00034DF9" w:rsidP="004F13F3">
            <w:r w:rsidRPr="00034DF9">
              <w:t>4</w:t>
            </w:r>
          </w:p>
        </w:tc>
      </w:tr>
      <w:tr w:rsidR="004F13F3" w:rsidRPr="00034DF9" w:rsidTr="00E80F24">
        <w:tc>
          <w:tcPr>
            <w:tcW w:w="3368" w:type="dxa"/>
          </w:tcPr>
          <w:p w:rsidR="00E80F24" w:rsidRPr="00034DF9" w:rsidRDefault="00034DF9" w:rsidP="004F13F3">
            <w:r w:rsidRPr="00034DF9">
              <w:t>Apprenticeship</w:t>
            </w:r>
          </w:p>
        </w:tc>
        <w:tc>
          <w:tcPr>
            <w:tcW w:w="3402" w:type="dxa"/>
          </w:tcPr>
          <w:p w:rsidR="00E80F24" w:rsidRPr="00034DF9" w:rsidRDefault="00034DF9" w:rsidP="004F13F3">
            <w:r w:rsidRPr="00034DF9">
              <w:t>1</w:t>
            </w:r>
          </w:p>
        </w:tc>
      </w:tr>
      <w:tr w:rsidR="004F13F3" w:rsidRPr="00034DF9" w:rsidTr="00E80F24">
        <w:tc>
          <w:tcPr>
            <w:tcW w:w="3368" w:type="dxa"/>
          </w:tcPr>
          <w:p w:rsidR="00E80F24" w:rsidRPr="00034DF9" w:rsidRDefault="00E80F24" w:rsidP="004F13F3">
            <w:r w:rsidRPr="00034DF9">
              <w:t>Employment</w:t>
            </w:r>
          </w:p>
        </w:tc>
        <w:tc>
          <w:tcPr>
            <w:tcW w:w="3402" w:type="dxa"/>
          </w:tcPr>
          <w:p w:rsidR="00E80F24" w:rsidRPr="00034DF9" w:rsidRDefault="00034DF9" w:rsidP="004F13F3">
            <w:r w:rsidRPr="00034DF9">
              <w:t>0</w:t>
            </w:r>
          </w:p>
        </w:tc>
      </w:tr>
      <w:tr w:rsidR="004F13F3" w:rsidRPr="00034DF9" w:rsidTr="00E80F24">
        <w:tc>
          <w:tcPr>
            <w:tcW w:w="3368" w:type="dxa"/>
          </w:tcPr>
          <w:p w:rsidR="00E80F24" w:rsidRPr="00034DF9" w:rsidRDefault="00E80F24" w:rsidP="004F13F3">
            <w:r w:rsidRPr="00034DF9">
              <w:t>NEET</w:t>
            </w:r>
          </w:p>
        </w:tc>
        <w:tc>
          <w:tcPr>
            <w:tcW w:w="3402" w:type="dxa"/>
          </w:tcPr>
          <w:p w:rsidR="00E80F24" w:rsidRPr="00034DF9" w:rsidRDefault="00E80F24" w:rsidP="004F13F3">
            <w:r w:rsidRPr="00034DF9">
              <w:t>1</w:t>
            </w:r>
          </w:p>
        </w:tc>
      </w:tr>
      <w:tr w:rsidR="00034DF9" w:rsidRPr="00034DF9" w:rsidTr="00E80F24">
        <w:tc>
          <w:tcPr>
            <w:tcW w:w="3368" w:type="dxa"/>
          </w:tcPr>
          <w:p w:rsidR="00034DF9" w:rsidRPr="00034DF9" w:rsidRDefault="00034DF9" w:rsidP="004F13F3">
            <w:r w:rsidRPr="00034DF9">
              <w:t>Unknown</w:t>
            </w:r>
          </w:p>
        </w:tc>
        <w:tc>
          <w:tcPr>
            <w:tcW w:w="3402" w:type="dxa"/>
          </w:tcPr>
          <w:p w:rsidR="00034DF9" w:rsidRPr="00034DF9" w:rsidRDefault="00034DF9" w:rsidP="004F13F3">
            <w:r w:rsidRPr="00034DF9">
              <w:t>1</w:t>
            </w:r>
          </w:p>
        </w:tc>
      </w:tr>
    </w:tbl>
    <w:p w:rsidR="002345B4" w:rsidRDefault="002345B4" w:rsidP="0000197F"/>
    <w:p w:rsidR="008334C3" w:rsidRDefault="008334C3" w:rsidP="00887A8E">
      <w:pPr>
        <w:rPr>
          <w:b/>
        </w:rPr>
        <w:sectPr w:rsidR="008334C3" w:rsidSect="00FF78A4">
          <w:pgSz w:w="11906" w:h="16838"/>
          <w:pgMar w:top="1077" w:right="851" w:bottom="851" w:left="851" w:header="709" w:footer="709" w:gutter="0"/>
          <w:cols w:space="708"/>
          <w:docGrid w:linePitch="360"/>
        </w:sectPr>
      </w:pPr>
    </w:p>
    <w:p w:rsidR="008334C3" w:rsidRPr="009E33F3" w:rsidRDefault="008334C3" w:rsidP="008334C3">
      <w:r w:rsidRPr="00841250">
        <w:lastRenderedPageBreak/>
        <w:t xml:space="preserve">The impact of the expenditure on the educational </w:t>
      </w:r>
      <w:r w:rsidR="00C215AA">
        <w:t>achievement of</w:t>
      </w:r>
      <w:r w:rsidRPr="00841250">
        <w:t xml:space="preserve"> pupils at the school:</w:t>
      </w:r>
      <w:r w:rsidR="00A72169">
        <w:rPr>
          <w:color w:val="FF0000"/>
        </w:rPr>
        <w:t xml:space="preserve"> </w:t>
      </w:r>
    </w:p>
    <w:p w:rsidR="008334C3" w:rsidRPr="008334C3" w:rsidRDefault="008334C3" w:rsidP="00887A8E"/>
    <w:p w:rsidR="008334C3" w:rsidRPr="00735B90" w:rsidRDefault="00C215AA" w:rsidP="008334C3">
      <w:pPr>
        <w:rPr>
          <w:b/>
          <w:i/>
        </w:rPr>
      </w:pPr>
      <w:r>
        <w:rPr>
          <w:b/>
        </w:rPr>
        <w:t>Achievement</w:t>
      </w:r>
      <w:r w:rsidR="008334C3" w:rsidRPr="00B266A8">
        <w:rPr>
          <w:b/>
        </w:rPr>
        <w:t xml:space="preserve"> </w:t>
      </w:r>
      <w:r w:rsidR="005401F5">
        <w:rPr>
          <w:b/>
        </w:rPr>
        <w:t>by disadvantaged</w:t>
      </w:r>
      <w:r w:rsidR="008334C3" w:rsidRPr="00B266A8">
        <w:rPr>
          <w:b/>
        </w:rPr>
        <w:t xml:space="preserve"> pupil</w:t>
      </w:r>
      <w:r w:rsidR="005401F5">
        <w:rPr>
          <w:b/>
        </w:rPr>
        <w:t>s</w:t>
      </w:r>
      <w:r w:rsidR="00965679">
        <w:rPr>
          <w:b/>
        </w:rPr>
        <w:t xml:space="preserve"> (2018</w:t>
      </w:r>
      <w:r w:rsidR="00E30AB7">
        <w:rPr>
          <w:b/>
        </w:rPr>
        <w:t>)</w:t>
      </w:r>
    </w:p>
    <w:p w:rsidR="008334C3" w:rsidRDefault="008334C3" w:rsidP="008334C3"/>
    <w:p w:rsidR="008334C3" w:rsidRPr="00B266A8" w:rsidRDefault="008334C3" w:rsidP="008334C3">
      <w:pPr>
        <w:rPr>
          <w:i/>
        </w:rPr>
      </w:pPr>
      <w:r w:rsidRPr="00B266A8">
        <w:rPr>
          <w:i/>
        </w:rPr>
        <w:t>It should be noted that the number of students eligible for Pupil Premium each year is small and therefore group comparisons should be treated with care.</w:t>
      </w:r>
    </w:p>
    <w:p w:rsidR="008334C3" w:rsidRDefault="008334C3" w:rsidP="008334C3"/>
    <w:p w:rsidR="00735B90" w:rsidRPr="00461201" w:rsidRDefault="00735B90" w:rsidP="00735B90">
      <w:pPr>
        <w:rPr>
          <w:b/>
          <w:u w:val="single"/>
        </w:rPr>
      </w:pPr>
      <w:r w:rsidRPr="00461201">
        <w:rPr>
          <w:b/>
          <w:u w:val="single"/>
        </w:rPr>
        <w:t>Progress 8 – disadvantaged (18 pupils)</w:t>
      </w:r>
    </w:p>
    <w:p w:rsidR="00735B90" w:rsidRPr="008941CE" w:rsidRDefault="00735B90" w:rsidP="00735B90">
      <w:pPr>
        <w:rPr>
          <w:i/>
        </w:rPr>
      </w:pPr>
      <w:r w:rsidRPr="008941CE">
        <w:rPr>
          <w:i/>
        </w:rPr>
        <w:t xml:space="preserve">The progress of disadvantaged pupils is broadly in line with all pupils nationally, </w:t>
      </w:r>
      <w:r>
        <w:rPr>
          <w:i/>
        </w:rPr>
        <w:t xml:space="preserve">and also in English.  It </w:t>
      </w:r>
      <w:r w:rsidRPr="008941CE">
        <w:rPr>
          <w:i/>
        </w:rPr>
        <w:t>is above that of all other pupils nationally for HPA.   It is above average for all other pupils in Mathematics and in line with all other pupils nationally in Science.  It is well above average for all other pupils nationally in Languages and Humanities.</w:t>
      </w:r>
    </w:p>
    <w:p w:rsidR="00735B90" w:rsidRPr="008941CE" w:rsidRDefault="00735B90" w:rsidP="00735B90">
      <w:pPr>
        <w:rPr>
          <w:i/>
        </w:rPr>
      </w:pPr>
      <w:r w:rsidRPr="008941CE">
        <w:rPr>
          <w:i/>
        </w:rPr>
        <w:t>Note the small group sizes.</w:t>
      </w:r>
    </w:p>
    <w:p w:rsidR="00735B90" w:rsidRPr="008941CE" w:rsidRDefault="00735B90" w:rsidP="00735B90">
      <w:pPr>
        <w:rPr>
          <w:i/>
        </w:rPr>
      </w:pPr>
    </w:p>
    <w:tbl>
      <w:tblPr>
        <w:tblStyle w:val="TableGrid"/>
        <w:tblW w:w="0" w:type="auto"/>
        <w:tblLook w:val="04A0" w:firstRow="1" w:lastRow="0" w:firstColumn="1" w:lastColumn="0" w:noHBand="0" w:noVBand="1"/>
      </w:tblPr>
      <w:tblGrid>
        <w:gridCol w:w="2629"/>
        <w:gridCol w:w="2522"/>
        <w:gridCol w:w="2525"/>
        <w:gridCol w:w="2518"/>
      </w:tblGrid>
      <w:tr w:rsidR="00735B90" w:rsidRPr="008021C4" w:rsidTr="00B73108">
        <w:tc>
          <w:tcPr>
            <w:tcW w:w="2660" w:type="dxa"/>
          </w:tcPr>
          <w:p w:rsidR="00735B90" w:rsidRPr="008021C4" w:rsidRDefault="00735B90" w:rsidP="00B73108">
            <w:pPr>
              <w:rPr>
                <w:b/>
              </w:rPr>
            </w:pPr>
          </w:p>
        </w:tc>
        <w:tc>
          <w:tcPr>
            <w:tcW w:w="2551" w:type="dxa"/>
          </w:tcPr>
          <w:p w:rsidR="00735B90" w:rsidRPr="008021C4" w:rsidRDefault="00735B90" w:rsidP="00B73108">
            <w:pPr>
              <w:rPr>
                <w:b/>
              </w:rPr>
            </w:pPr>
          </w:p>
        </w:tc>
        <w:tc>
          <w:tcPr>
            <w:tcW w:w="2552" w:type="dxa"/>
          </w:tcPr>
          <w:p w:rsidR="00735B90" w:rsidRPr="008021C4" w:rsidRDefault="00735B90" w:rsidP="00B73108">
            <w:pPr>
              <w:rPr>
                <w:b/>
              </w:rPr>
            </w:pPr>
            <w:r w:rsidRPr="008021C4">
              <w:rPr>
                <w:b/>
              </w:rPr>
              <w:t>National</w:t>
            </w:r>
          </w:p>
        </w:tc>
        <w:tc>
          <w:tcPr>
            <w:tcW w:w="2552" w:type="dxa"/>
          </w:tcPr>
          <w:p w:rsidR="00735B90" w:rsidRPr="008021C4" w:rsidRDefault="00735B90" w:rsidP="00B73108">
            <w:pPr>
              <w:rPr>
                <w:b/>
              </w:rPr>
            </w:pPr>
            <w:r>
              <w:rPr>
                <w:b/>
              </w:rPr>
              <w:t>Rank</w:t>
            </w:r>
          </w:p>
        </w:tc>
      </w:tr>
      <w:tr w:rsidR="00735B90" w:rsidRPr="008021C4" w:rsidTr="00B73108">
        <w:tc>
          <w:tcPr>
            <w:tcW w:w="2660" w:type="dxa"/>
          </w:tcPr>
          <w:p w:rsidR="00735B90" w:rsidRPr="008021C4" w:rsidRDefault="00735B90" w:rsidP="00B73108">
            <w:pPr>
              <w:rPr>
                <w:b/>
              </w:rPr>
            </w:pPr>
            <w:r w:rsidRPr="008021C4">
              <w:rPr>
                <w:b/>
              </w:rPr>
              <w:t>Overall</w:t>
            </w:r>
          </w:p>
        </w:tc>
        <w:tc>
          <w:tcPr>
            <w:tcW w:w="2551" w:type="dxa"/>
          </w:tcPr>
          <w:p w:rsidR="00735B90" w:rsidRPr="008021C4" w:rsidRDefault="00735B90" w:rsidP="00B73108">
            <w:r>
              <w:t>-0.04</w:t>
            </w:r>
            <w:r>
              <w:t xml:space="preserve"> (NS)</w:t>
            </w:r>
          </w:p>
        </w:tc>
        <w:tc>
          <w:tcPr>
            <w:tcW w:w="2552" w:type="dxa"/>
          </w:tcPr>
          <w:p w:rsidR="00735B90" w:rsidRPr="008021C4" w:rsidRDefault="00735B90" w:rsidP="00B73108">
            <w:r w:rsidRPr="008021C4">
              <w:t>0.13</w:t>
            </w:r>
          </w:p>
        </w:tc>
        <w:tc>
          <w:tcPr>
            <w:tcW w:w="2552" w:type="dxa"/>
          </w:tcPr>
          <w:p w:rsidR="00735B90" w:rsidRPr="008021C4" w:rsidRDefault="00735B90" w:rsidP="00B73108">
            <w:r>
              <w:t>Q2 (NS)</w:t>
            </w:r>
          </w:p>
        </w:tc>
      </w:tr>
      <w:tr w:rsidR="00735B90" w:rsidRPr="008021C4" w:rsidTr="00B73108">
        <w:tc>
          <w:tcPr>
            <w:tcW w:w="2660" w:type="dxa"/>
          </w:tcPr>
          <w:p w:rsidR="00735B90" w:rsidRPr="008021C4" w:rsidRDefault="00735B90" w:rsidP="00B73108">
            <w:r w:rsidRPr="008021C4">
              <w:t>LPA (4)</w:t>
            </w:r>
          </w:p>
        </w:tc>
        <w:tc>
          <w:tcPr>
            <w:tcW w:w="2551" w:type="dxa"/>
          </w:tcPr>
          <w:p w:rsidR="00735B90" w:rsidRPr="008021C4" w:rsidRDefault="00735B90" w:rsidP="00B73108">
            <w:r w:rsidRPr="008021C4">
              <w:t>-0.31</w:t>
            </w:r>
            <w:r>
              <w:t>(NS)</w:t>
            </w:r>
          </w:p>
        </w:tc>
        <w:tc>
          <w:tcPr>
            <w:tcW w:w="2552" w:type="dxa"/>
          </w:tcPr>
          <w:p w:rsidR="00735B90" w:rsidRPr="008021C4" w:rsidRDefault="00735B90" w:rsidP="00B73108">
            <w:r w:rsidRPr="008021C4">
              <w:t>0.04</w:t>
            </w:r>
          </w:p>
        </w:tc>
        <w:tc>
          <w:tcPr>
            <w:tcW w:w="2552" w:type="dxa"/>
          </w:tcPr>
          <w:p w:rsidR="00735B90" w:rsidRPr="008021C4" w:rsidRDefault="00735B90" w:rsidP="00B73108">
            <w:r>
              <w:t>-</w:t>
            </w:r>
          </w:p>
        </w:tc>
      </w:tr>
      <w:tr w:rsidR="00735B90" w:rsidRPr="008021C4" w:rsidTr="00B73108">
        <w:tc>
          <w:tcPr>
            <w:tcW w:w="2660" w:type="dxa"/>
          </w:tcPr>
          <w:p w:rsidR="00735B90" w:rsidRPr="008021C4" w:rsidRDefault="00735B90" w:rsidP="00B73108">
            <w:r w:rsidRPr="008021C4">
              <w:t>MPA (9)</w:t>
            </w:r>
          </w:p>
        </w:tc>
        <w:tc>
          <w:tcPr>
            <w:tcW w:w="2551" w:type="dxa"/>
          </w:tcPr>
          <w:p w:rsidR="00735B90" w:rsidRPr="008021C4" w:rsidRDefault="00735B90" w:rsidP="00B73108">
            <w:r w:rsidRPr="008021C4">
              <w:t>-0.16</w:t>
            </w:r>
            <w:r>
              <w:t xml:space="preserve"> (NS)</w:t>
            </w:r>
          </w:p>
        </w:tc>
        <w:tc>
          <w:tcPr>
            <w:tcW w:w="2552" w:type="dxa"/>
          </w:tcPr>
          <w:p w:rsidR="00735B90" w:rsidRPr="008021C4" w:rsidRDefault="00735B90" w:rsidP="00B73108">
            <w:r w:rsidRPr="008021C4">
              <w:t>0.17</w:t>
            </w:r>
          </w:p>
        </w:tc>
        <w:tc>
          <w:tcPr>
            <w:tcW w:w="2552" w:type="dxa"/>
          </w:tcPr>
          <w:p w:rsidR="00735B90" w:rsidRPr="008021C4" w:rsidRDefault="00735B90" w:rsidP="00B73108">
            <w:r>
              <w:t>-</w:t>
            </w:r>
          </w:p>
        </w:tc>
      </w:tr>
      <w:tr w:rsidR="00735B90" w:rsidRPr="008021C4" w:rsidTr="00B73108">
        <w:tc>
          <w:tcPr>
            <w:tcW w:w="2660" w:type="dxa"/>
          </w:tcPr>
          <w:p w:rsidR="00735B90" w:rsidRPr="008021C4" w:rsidRDefault="00735B90" w:rsidP="00B73108">
            <w:r w:rsidRPr="008021C4">
              <w:t>HPA (5)</w:t>
            </w:r>
          </w:p>
        </w:tc>
        <w:tc>
          <w:tcPr>
            <w:tcW w:w="2551" w:type="dxa"/>
          </w:tcPr>
          <w:p w:rsidR="00735B90" w:rsidRPr="008021C4" w:rsidRDefault="00735B90" w:rsidP="00B73108">
            <w:r w:rsidRPr="008021C4">
              <w:t>0.35</w:t>
            </w:r>
            <w:r>
              <w:t xml:space="preserve"> (NS)</w:t>
            </w:r>
          </w:p>
        </w:tc>
        <w:tc>
          <w:tcPr>
            <w:tcW w:w="2552" w:type="dxa"/>
          </w:tcPr>
          <w:p w:rsidR="00735B90" w:rsidRPr="008021C4" w:rsidRDefault="00735B90" w:rsidP="00B73108">
            <w:r w:rsidRPr="008021C4">
              <w:t>0.12</w:t>
            </w:r>
          </w:p>
        </w:tc>
        <w:tc>
          <w:tcPr>
            <w:tcW w:w="2552" w:type="dxa"/>
          </w:tcPr>
          <w:p w:rsidR="00735B90" w:rsidRPr="008021C4" w:rsidRDefault="00735B90" w:rsidP="00B73108">
            <w:r>
              <w:t>-</w:t>
            </w:r>
          </w:p>
        </w:tc>
      </w:tr>
    </w:tbl>
    <w:p w:rsidR="00735B90" w:rsidRPr="00930CBA" w:rsidRDefault="00735B90" w:rsidP="00735B90"/>
    <w:tbl>
      <w:tblPr>
        <w:tblStyle w:val="TableGrid"/>
        <w:tblW w:w="0" w:type="auto"/>
        <w:tblLook w:val="04A0" w:firstRow="1" w:lastRow="0" w:firstColumn="1" w:lastColumn="0" w:noHBand="0" w:noVBand="1"/>
      </w:tblPr>
      <w:tblGrid>
        <w:gridCol w:w="2630"/>
        <w:gridCol w:w="2517"/>
        <w:gridCol w:w="2527"/>
        <w:gridCol w:w="2520"/>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English</w:t>
            </w:r>
          </w:p>
        </w:tc>
        <w:tc>
          <w:tcPr>
            <w:tcW w:w="2551" w:type="dxa"/>
          </w:tcPr>
          <w:p w:rsidR="00735B90" w:rsidRPr="0072410B" w:rsidRDefault="00735B90" w:rsidP="00B73108">
            <w:r w:rsidRPr="0072410B">
              <w:t>-0.02</w:t>
            </w:r>
            <w:r>
              <w:t xml:space="preserve"> (NS)</w:t>
            </w:r>
          </w:p>
        </w:tc>
        <w:tc>
          <w:tcPr>
            <w:tcW w:w="2552" w:type="dxa"/>
          </w:tcPr>
          <w:p w:rsidR="00735B90" w:rsidRPr="0072410B" w:rsidRDefault="00735B90" w:rsidP="00B73108">
            <w:r w:rsidRPr="0072410B">
              <w:t>0.11</w:t>
            </w:r>
          </w:p>
        </w:tc>
        <w:tc>
          <w:tcPr>
            <w:tcW w:w="2552" w:type="dxa"/>
          </w:tcPr>
          <w:p w:rsidR="00735B90" w:rsidRPr="0072410B" w:rsidRDefault="00735B90" w:rsidP="00B73108">
            <w:r>
              <w:t>Q2</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rsidRPr="0072410B">
              <w:t>-0.13</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rsidRPr="0072410B">
              <w:t>-0.06</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rsidRPr="0072410B">
              <w:t>0.16</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firstRow="1" w:lastRow="0" w:firstColumn="1" w:lastColumn="0" w:noHBand="0" w:noVBand="1"/>
      </w:tblPr>
      <w:tblGrid>
        <w:gridCol w:w="2639"/>
        <w:gridCol w:w="2514"/>
        <w:gridCol w:w="2524"/>
        <w:gridCol w:w="2517"/>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Mathematics</w:t>
            </w:r>
          </w:p>
        </w:tc>
        <w:tc>
          <w:tcPr>
            <w:tcW w:w="2551" w:type="dxa"/>
          </w:tcPr>
          <w:p w:rsidR="00735B90" w:rsidRPr="0072410B" w:rsidRDefault="00735B90" w:rsidP="00B73108">
            <w:r w:rsidRPr="0072410B">
              <w:t>0.25</w:t>
            </w:r>
            <w:r>
              <w:t xml:space="preserve"> (NS)</w:t>
            </w:r>
          </w:p>
        </w:tc>
        <w:tc>
          <w:tcPr>
            <w:tcW w:w="2552" w:type="dxa"/>
          </w:tcPr>
          <w:p w:rsidR="00735B90" w:rsidRPr="0072410B" w:rsidRDefault="00735B90" w:rsidP="00B73108">
            <w:r w:rsidRPr="0072410B">
              <w:t>0.12</w:t>
            </w:r>
          </w:p>
        </w:tc>
        <w:tc>
          <w:tcPr>
            <w:tcW w:w="2552" w:type="dxa"/>
          </w:tcPr>
          <w:p w:rsidR="00735B90" w:rsidRPr="0072410B" w:rsidRDefault="00735B90" w:rsidP="00B73108">
            <w:r>
              <w:t>Q1</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rsidRPr="0072410B">
              <w:t>0.24</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rsidRPr="0072410B">
              <w:t>0.11</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rsidRPr="0072410B">
              <w:t>0.52</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firstRow="1" w:lastRow="0" w:firstColumn="1" w:lastColumn="0" w:noHBand="0" w:noVBand="1"/>
      </w:tblPr>
      <w:tblGrid>
        <w:gridCol w:w="2628"/>
        <w:gridCol w:w="2518"/>
        <w:gridCol w:w="2527"/>
        <w:gridCol w:w="2521"/>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w:t>
            </w:r>
          </w:p>
        </w:tc>
        <w:tc>
          <w:tcPr>
            <w:tcW w:w="2551" w:type="dxa"/>
          </w:tcPr>
          <w:p w:rsidR="00735B90" w:rsidRPr="0072410B" w:rsidRDefault="00735B90" w:rsidP="00B73108">
            <w:r w:rsidRPr="0072410B">
              <w:t>0.01</w:t>
            </w:r>
            <w:r>
              <w:t xml:space="preserve"> (NS)</w:t>
            </w:r>
          </w:p>
        </w:tc>
        <w:tc>
          <w:tcPr>
            <w:tcW w:w="2552" w:type="dxa"/>
          </w:tcPr>
          <w:p w:rsidR="00735B90" w:rsidRPr="0072410B" w:rsidRDefault="00735B90" w:rsidP="00B73108">
            <w:r w:rsidRPr="0072410B">
              <w:t>0.14</w:t>
            </w:r>
          </w:p>
        </w:tc>
        <w:tc>
          <w:tcPr>
            <w:tcW w:w="2552" w:type="dxa"/>
          </w:tcPr>
          <w:p w:rsidR="00735B90" w:rsidRPr="0072410B" w:rsidRDefault="00735B90" w:rsidP="00B73108">
            <w:r>
              <w:t>Q2</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rsidRPr="0072410B">
              <w:t>-0.44</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rsidRPr="0072410B">
              <w:t>-0.11</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rsidRPr="0072410B">
              <w:t>0.58</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930CBA" w:rsidRDefault="00735B90" w:rsidP="00735B90"/>
    <w:tbl>
      <w:tblPr>
        <w:tblStyle w:val="TableGrid"/>
        <w:tblW w:w="0" w:type="auto"/>
        <w:tblLook w:val="04A0" w:firstRow="1" w:lastRow="0" w:firstColumn="1" w:lastColumn="0" w:noHBand="0" w:noVBand="1"/>
      </w:tblPr>
      <w:tblGrid>
        <w:gridCol w:w="2631"/>
        <w:gridCol w:w="2517"/>
        <w:gridCol w:w="2526"/>
        <w:gridCol w:w="2520"/>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 – Science (18)</w:t>
            </w:r>
          </w:p>
        </w:tc>
        <w:tc>
          <w:tcPr>
            <w:tcW w:w="2551" w:type="dxa"/>
          </w:tcPr>
          <w:p w:rsidR="00735B90" w:rsidRPr="0072410B" w:rsidRDefault="00735B90" w:rsidP="00B73108">
            <w:r w:rsidRPr="0072410B">
              <w:t>0.11</w:t>
            </w:r>
            <w:r>
              <w:t xml:space="preserve"> (NS)</w:t>
            </w:r>
          </w:p>
        </w:tc>
        <w:tc>
          <w:tcPr>
            <w:tcW w:w="2552" w:type="dxa"/>
          </w:tcPr>
          <w:p w:rsidR="00735B90" w:rsidRPr="0072410B" w:rsidRDefault="00735B90" w:rsidP="00B73108">
            <w:r w:rsidRPr="0072410B">
              <w:t>0.13</w:t>
            </w:r>
          </w:p>
        </w:tc>
        <w:tc>
          <w:tcPr>
            <w:tcW w:w="2552" w:type="dxa"/>
          </w:tcPr>
          <w:p w:rsidR="00735B90" w:rsidRPr="0072410B" w:rsidRDefault="00735B90" w:rsidP="00B73108">
            <w:r>
              <w:t>Q2</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t>0.27</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t>0.25</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t>0.31</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firstRow="1" w:lastRow="0" w:firstColumn="1" w:lastColumn="0" w:noHBand="0" w:noVBand="1"/>
      </w:tblPr>
      <w:tblGrid>
        <w:gridCol w:w="2635"/>
        <w:gridCol w:w="2515"/>
        <w:gridCol w:w="2525"/>
        <w:gridCol w:w="2519"/>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 – Languages (7)</w:t>
            </w:r>
          </w:p>
        </w:tc>
        <w:tc>
          <w:tcPr>
            <w:tcW w:w="2551" w:type="dxa"/>
          </w:tcPr>
          <w:p w:rsidR="00735B90" w:rsidRPr="0072410B" w:rsidRDefault="00735B90" w:rsidP="00B73108">
            <w:r w:rsidRPr="0072410B">
              <w:t>1.37</w:t>
            </w:r>
          </w:p>
        </w:tc>
        <w:tc>
          <w:tcPr>
            <w:tcW w:w="2552" w:type="dxa"/>
          </w:tcPr>
          <w:p w:rsidR="00735B90" w:rsidRPr="0072410B" w:rsidRDefault="00735B90" w:rsidP="00B73108">
            <w:r w:rsidRPr="0072410B">
              <w:t>0.05</w:t>
            </w:r>
          </w:p>
        </w:tc>
        <w:tc>
          <w:tcPr>
            <w:tcW w:w="2552" w:type="dxa"/>
          </w:tcPr>
          <w:p w:rsidR="00735B90" w:rsidRPr="0072410B" w:rsidRDefault="00735B90" w:rsidP="00B73108">
            <w:r>
              <w:t>Q1</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t>-0.29</w:t>
            </w:r>
          </w:p>
        </w:tc>
        <w:tc>
          <w:tcPr>
            <w:tcW w:w="2552" w:type="dxa"/>
          </w:tcPr>
          <w:p w:rsidR="00735B90" w:rsidRPr="0072410B" w:rsidRDefault="00735B90" w:rsidP="00B73108">
            <w:r w:rsidRPr="0072410B">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t>0.49</w:t>
            </w:r>
          </w:p>
        </w:tc>
        <w:tc>
          <w:tcPr>
            <w:tcW w:w="2552" w:type="dxa"/>
          </w:tcPr>
          <w:p w:rsidR="00735B90" w:rsidRPr="0072410B" w:rsidRDefault="00735B90" w:rsidP="00B73108">
            <w:r w:rsidRPr="0072410B">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t>0.53</w:t>
            </w:r>
          </w:p>
        </w:tc>
        <w:tc>
          <w:tcPr>
            <w:tcW w:w="2552" w:type="dxa"/>
          </w:tcPr>
          <w:p w:rsidR="00735B90" w:rsidRPr="0072410B" w:rsidRDefault="00735B90" w:rsidP="00B73108">
            <w:r w:rsidRPr="0072410B">
              <w:t>-</w:t>
            </w:r>
          </w:p>
        </w:tc>
        <w:tc>
          <w:tcPr>
            <w:tcW w:w="2552" w:type="dxa"/>
          </w:tcPr>
          <w:p w:rsidR="00735B90" w:rsidRPr="008021C4" w:rsidRDefault="00735B90" w:rsidP="00B73108">
            <w:r>
              <w:t>-</w:t>
            </w:r>
          </w:p>
        </w:tc>
      </w:tr>
    </w:tbl>
    <w:p w:rsidR="00735B90" w:rsidRPr="0072410B" w:rsidRDefault="00735B90" w:rsidP="00735B90"/>
    <w:tbl>
      <w:tblPr>
        <w:tblStyle w:val="TableGrid"/>
        <w:tblW w:w="0" w:type="auto"/>
        <w:tblLook w:val="04A0" w:firstRow="1" w:lastRow="0" w:firstColumn="1" w:lastColumn="0" w:noHBand="0" w:noVBand="1"/>
      </w:tblPr>
      <w:tblGrid>
        <w:gridCol w:w="2637"/>
        <w:gridCol w:w="2514"/>
        <w:gridCol w:w="2525"/>
        <w:gridCol w:w="2518"/>
      </w:tblGrid>
      <w:tr w:rsidR="00735B90" w:rsidRPr="0072410B" w:rsidTr="00B73108">
        <w:tc>
          <w:tcPr>
            <w:tcW w:w="2660" w:type="dxa"/>
          </w:tcPr>
          <w:p w:rsidR="00735B90" w:rsidRPr="0072410B" w:rsidRDefault="00735B90" w:rsidP="00B73108">
            <w:pPr>
              <w:rPr>
                <w:b/>
              </w:rPr>
            </w:pPr>
          </w:p>
        </w:tc>
        <w:tc>
          <w:tcPr>
            <w:tcW w:w="2551" w:type="dxa"/>
          </w:tcPr>
          <w:p w:rsidR="00735B90" w:rsidRPr="0072410B" w:rsidRDefault="00735B90" w:rsidP="00B73108">
            <w:pPr>
              <w:rPr>
                <w:b/>
              </w:rPr>
            </w:pPr>
          </w:p>
        </w:tc>
        <w:tc>
          <w:tcPr>
            <w:tcW w:w="2552" w:type="dxa"/>
          </w:tcPr>
          <w:p w:rsidR="00735B90" w:rsidRPr="0072410B" w:rsidRDefault="00735B90" w:rsidP="00B73108">
            <w:pPr>
              <w:rPr>
                <w:b/>
              </w:rPr>
            </w:pPr>
            <w:r w:rsidRPr="0072410B">
              <w:rPr>
                <w:b/>
              </w:rPr>
              <w:t>National</w:t>
            </w:r>
          </w:p>
        </w:tc>
        <w:tc>
          <w:tcPr>
            <w:tcW w:w="2552" w:type="dxa"/>
          </w:tcPr>
          <w:p w:rsidR="00735B90" w:rsidRPr="0072410B" w:rsidRDefault="00735B90" w:rsidP="00B73108">
            <w:pPr>
              <w:rPr>
                <w:b/>
              </w:rPr>
            </w:pPr>
            <w:r>
              <w:rPr>
                <w:b/>
              </w:rPr>
              <w:t>Rank</w:t>
            </w:r>
          </w:p>
        </w:tc>
      </w:tr>
      <w:tr w:rsidR="00735B90" w:rsidRPr="0072410B" w:rsidTr="00B73108">
        <w:tc>
          <w:tcPr>
            <w:tcW w:w="2660" w:type="dxa"/>
          </w:tcPr>
          <w:p w:rsidR="00735B90" w:rsidRPr="0072410B" w:rsidRDefault="00735B90" w:rsidP="00B73108">
            <w:pPr>
              <w:rPr>
                <w:b/>
              </w:rPr>
            </w:pPr>
            <w:r w:rsidRPr="0072410B">
              <w:rPr>
                <w:b/>
              </w:rPr>
              <w:t>EBacc – Humanities (5)</w:t>
            </w:r>
          </w:p>
        </w:tc>
        <w:tc>
          <w:tcPr>
            <w:tcW w:w="2551" w:type="dxa"/>
          </w:tcPr>
          <w:p w:rsidR="00735B90" w:rsidRPr="0072410B" w:rsidRDefault="00735B90" w:rsidP="00B73108">
            <w:r w:rsidRPr="0072410B">
              <w:t>1.08</w:t>
            </w:r>
          </w:p>
        </w:tc>
        <w:tc>
          <w:tcPr>
            <w:tcW w:w="2552" w:type="dxa"/>
          </w:tcPr>
          <w:p w:rsidR="00735B90" w:rsidRPr="0072410B" w:rsidRDefault="00735B90" w:rsidP="00B73108">
            <w:r w:rsidRPr="0072410B">
              <w:t>0.16</w:t>
            </w:r>
          </w:p>
        </w:tc>
        <w:tc>
          <w:tcPr>
            <w:tcW w:w="2552" w:type="dxa"/>
          </w:tcPr>
          <w:p w:rsidR="00735B90" w:rsidRPr="0072410B" w:rsidRDefault="00735B90" w:rsidP="00B73108">
            <w:r>
              <w:t>Q1</w:t>
            </w:r>
          </w:p>
        </w:tc>
      </w:tr>
      <w:tr w:rsidR="00735B90" w:rsidRPr="0072410B" w:rsidTr="00B73108">
        <w:tc>
          <w:tcPr>
            <w:tcW w:w="2660" w:type="dxa"/>
          </w:tcPr>
          <w:p w:rsidR="00735B90" w:rsidRPr="0072410B" w:rsidRDefault="00735B90" w:rsidP="00B73108">
            <w:r w:rsidRPr="0072410B">
              <w:t>LPA</w:t>
            </w:r>
          </w:p>
        </w:tc>
        <w:tc>
          <w:tcPr>
            <w:tcW w:w="2551" w:type="dxa"/>
          </w:tcPr>
          <w:p w:rsidR="00735B90" w:rsidRPr="0072410B" w:rsidRDefault="00735B90" w:rsidP="00B73108">
            <w:r>
              <w:t>0.95</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MPA</w:t>
            </w:r>
          </w:p>
        </w:tc>
        <w:tc>
          <w:tcPr>
            <w:tcW w:w="2551" w:type="dxa"/>
          </w:tcPr>
          <w:p w:rsidR="00735B90" w:rsidRPr="0072410B" w:rsidRDefault="00735B90" w:rsidP="00B73108">
            <w:r>
              <w:t>0.96</w:t>
            </w:r>
          </w:p>
        </w:tc>
        <w:tc>
          <w:tcPr>
            <w:tcW w:w="2552" w:type="dxa"/>
          </w:tcPr>
          <w:p w:rsidR="00735B90" w:rsidRPr="0072410B" w:rsidRDefault="00735B90" w:rsidP="00B73108">
            <w:r>
              <w:t>-</w:t>
            </w:r>
          </w:p>
        </w:tc>
        <w:tc>
          <w:tcPr>
            <w:tcW w:w="2552" w:type="dxa"/>
          </w:tcPr>
          <w:p w:rsidR="00735B90" w:rsidRPr="008021C4" w:rsidRDefault="00735B90" w:rsidP="00B73108">
            <w:r>
              <w:t>-</w:t>
            </w:r>
          </w:p>
        </w:tc>
      </w:tr>
      <w:tr w:rsidR="00735B90" w:rsidRPr="0072410B" w:rsidTr="00B73108">
        <w:tc>
          <w:tcPr>
            <w:tcW w:w="2660" w:type="dxa"/>
          </w:tcPr>
          <w:p w:rsidR="00735B90" w:rsidRPr="0072410B" w:rsidRDefault="00735B90" w:rsidP="00B73108">
            <w:r w:rsidRPr="0072410B">
              <w:t>HPA</w:t>
            </w:r>
          </w:p>
        </w:tc>
        <w:tc>
          <w:tcPr>
            <w:tcW w:w="2551" w:type="dxa"/>
          </w:tcPr>
          <w:p w:rsidR="00735B90" w:rsidRPr="0072410B" w:rsidRDefault="00735B90" w:rsidP="00B73108">
            <w:r>
              <w:t>0.83</w:t>
            </w:r>
          </w:p>
        </w:tc>
        <w:tc>
          <w:tcPr>
            <w:tcW w:w="2552" w:type="dxa"/>
          </w:tcPr>
          <w:p w:rsidR="00735B90" w:rsidRPr="0072410B" w:rsidRDefault="00735B90" w:rsidP="00B73108">
            <w:r>
              <w:t>-</w:t>
            </w:r>
          </w:p>
        </w:tc>
        <w:tc>
          <w:tcPr>
            <w:tcW w:w="2552" w:type="dxa"/>
          </w:tcPr>
          <w:p w:rsidR="00735B90" w:rsidRPr="008021C4" w:rsidRDefault="00735B90" w:rsidP="00B73108">
            <w:r>
              <w:t>-</w:t>
            </w:r>
          </w:p>
        </w:tc>
      </w:tr>
    </w:tbl>
    <w:p w:rsidR="00735B90" w:rsidRPr="00F321B2" w:rsidRDefault="00735B90" w:rsidP="009E33F3">
      <w:pPr>
        <w:rPr>
          <w:b/>
          <w:u w:val="single"/>
        </w:rPr>
      </w:pPr>
    </w:p>
    <w:p w:rsidR="009E33F3" w:rsidRDefault="009E33F3">
      <w:pPr>
        <w:rPr>
          <w:b/>
          <w:u w:val="single"/>
        </w:rPr>
      </w:pPr>
      <w:r>
        <w:rPr>
          <w:b/>
          <w:u w:val="single"/>
        </w:rPr>
        <w:br w:type="page"/>
      </w:r>
    </w:p>
    <w:p w:rsidR="00735B90" w:rsidRPr="003F379F" w:rsidRDefault="00735B90" w:rsidP="00735B90">
      <w:pPr>
        <w:rPr>
          <w:b/>
          <w:u w:val="single"/>
        </w:rPr>
      </w:pPr>
      <w:r w:rsidRPr="003F379F">
        <w:rPr>
          <w:b/>
          <w:u w:val="single"/>
        </w:rPr>
        <w:lastRenderedPageBreak/>
        <w:t>Attainment 8 – disadvantaged (18 pupils)</w:t>
      </w:r>
    </w:p>
    <w:p w:rsidR="00735B90" w:rsidRPr="003F379F" w:rsidRDefault="00735B90" w:rsidP="00735B90"/>
    <w:tbl>
      <w:tblPr>
        <w:tblStyle w:val="TableGrid"/>
        <w:tblW w:w="0" w:type="auto"/>
        <w:tblLook w:val="04A0" w:firstRow="1" w:lastRow="0" w:firstColumn="1" w:lastColumn="0" w:noHBand="0" w:noVBand="1"/>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r w:rsidRPr="003F379F">
              <w:rPr>
                <w:b/>
              </w:rPr>
              <w:t>Overall</w:t>
            </w:r>
          </w:p>
        </w:tc>
        <w:tc>
          <w:tcPr>
            <w:tcW w:w="2605" w:type="dxa"/>
          </w:tcPr>
          <w:p w:rsidR="00735B90" w:rsidRPr="003F379F" w:rsidRDefault="00735B90" w:rsidP="00B73108">
            <w:r w:rsidRPr="003F379F">
              <w:t>40.78</w:t>
            </w:r>
          </w:p>
        </w:tc>
        <w:tc>
          <w:tcPr>
            <w:tcW w:w="2605" w:type="dxa"/>
          </w:tcPr>
          <w:p w:rsidR="00735B90" w:rsidRPr="003F379F" w:rsidRDefault="00735B90" w:rsidP="00B73108">
            <w:r w:rsidRPr="003F379F">
              <w:t>49.96 (all other)</w:t>
            </w:r>
          </w:p>
        </w:tc>
      </w:tr>
      <w:tr w:rsidR="00735B90" w:rsidRPr="003F379F" w:rsidTr="00B73108">
        <w:tc>
          <w:tcPr>
            <w:tcW w:w="2605" w:type="dxa"/>
          </w:tcPr>
          <w:p w:rsidR="00735B90" w:rsidRPr="003F379F" w:rsidRDefault="00735B90" w:rsidP="00B73108">
            <w:r w:rsidRPr="003F379F">
              <w:t>LPA (4)</w:t>
            </w:r>
          </w:p>
        </w:tc>
        <w:tc>
          <w:tcPr>
            <w:tcW w:w="2605" w:type="dxa"/>
          </w:tcPr>
          <w:p w:rsidR="00735B90" w:rsidRPr="003F379F" w:rsidRDefault="00735B90" w:rsidP="00B73108">
            <w:r w:rsidRPr="003F379F">
              <w:t>23.50</w:t>
            </w:r>
          </w:p>
        </w:tc>
        <w:tc>
          <w:tcPr>
            <w:tcW w:w="2605" w:type="dxa"/>
          </w:tcPr>
          <w:p w:rsidR="00735B90" w:rsidRPr="003F379F" w:rsidRDefault="00735B90" w:rsidP="00B73108">
            <w:r w:rsidRPr="003F379F">
              <w:t>25.11</w:t>
            </w:r>
          </w:p>
        </w:tc>
      </w:tr>
      <w:tr w:rsidR="00735B90" w:rsidRPr="003F379F" w:rsidTr="00B73108">
        <w:tc>
          <w:tcPr>
            <w:tcW w:w="2605" w:type="dxa"/>
          </w:tcPr>
          <w:p w:rsidR="00735B90" w:rsidRPr="003F379F" w:rsidRDefault="00735B90" w:rsidP="00B73108">
            <w:r w:rsidRPr="003F379F">
              <w:t>MPA (9)</w:t>
            </w:r>
          </w:p>
        </w:tc>
        <w:tc>
          <w:tcPr>
            <w:tcW w:w="2605" w:type="dxa"/>
          </w:tcPr>
          <w:p w:rsidR="00735B90" w:rsidRPr="003F379F" w:rsidRDefault="00735B90" w:rsidP="00B73108">
            <w:r w:rsidRPr="003F379F">
              <w:t>35.50</w:t>
            </w:r>
          </w:p>
        </w:tc>
        <w:tc>
          <w:tcPr>
            <w:tcW w:w="2605" w:type="dxa"/>
          </w:tcPr>
          <w:p w:rsidR="00735B90" w:rsidRPr="003F379F" w:rsidRDefault="00735B90" w:rsidP="00B73108">
            <w:r w:rsidRPr="003F379F">
              <w:t>42.76</w:t>
            </w:r>
          </w:p>
        </w:tc>
      </w:tr>
      <w:tr w:rsidR="00735B90" w:rsidRPr="003F379F" w:rsidTr="00B73108">
        <w:tc>
          <w:tcPr>
            <w:tcW w:w="2605" w:type="dxa"/>
          </w:tcPr>
          <w:p w:rsidR="00735B90" w:rsidRPr="003F379F" w:rsidRDefault="00735B90" w:rsidP="00B73108">
            <w:r w:rsidRPr="003F379F">
              <w:t>HPA (5)</w:t>
            </w:r>
          </w:p>
        </w:tc>
        <w:tc>
          <w:tcPr>
            <w:tcW w:w="2605" w:type="dxa"/>
          </w:tcPr>
          <w:p w:rsidR="00735B90" w:rsidRPr="003F379F" w:rsidRDefault="00735B90" w:rsidP="00B73108">
            <w:r w:rsidRPr="003F379F">
              <w:t>64.10</w:t>
            </w:r>
          </w:p>
        </w:tc>
        <w:tc>
          <w:tcPr>
            <w:tcW w:w="2605" w:type="dxa"/>
          </w:tcPr>
          <w:p w:rsidR="00735B90" w:rsidRPr="003F379F" w:rsidRDefault="00735B90" w:rsidP="00B73108">
            <w:r w:rsidRPr="003F379F">
              <w:t>62.45</w:t>
            </w:r>
          </w:p>
        </w:tc>
      </w:tr>
    </w:tbl>
    <w:p w:rsidR="00735B90" w:rsidRPr="003F379F" w:rsidRDefault="00735B90" w:rsidP="00735B90"/>
    <w:tbl>
      <w:tblPr>
        <w:tblStyle w:val="TableGrid"/>
        <w:tblW w:w="0" w:type="auto"/>
        <w:tblLook w:val="04A0" w:firstRow="1" w:lastRow="0" w:firstColumn="1" w:lastColumn="0" w:noHBand="0" w:noVBand="1"/>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r w:rsidRPr="003F379F">
              <w:rPr>
                <w:b/>
              </w:rPr>
              <w:t>English</w:t>
            </w:r>
          </w:p>
        </w:tc>
        <w:tc>
          <w:tcPr>
            <w:tcW w:w="2605" w:type="dxa"/>
          </w:tcPr>
          <w:p w:rsidR="00735B90" w:rsidRPr="003F379F" w:rsidRDefault="00735B90" w:rsidP="00B73108">
            <w:r w:rsidRPr="003F379F">
              <w:t>9.00</w:t>
            </w:r>
          </w:p>
        </w:tc>
        <w:tc>
          <w:tcPr>
            <w:tcW w:w="2605" w:type="dxa"/>
          </w:tcPr>
          <w:p w:rsidR="00735B90" w:rsidRPr="003F379F" w:rsidRDefault="00735B90" w:rsidP="00B73108">
            <w:r w:rsidRPr="003F379F">
              <w:t>10.55 (all other)</w:t>
            </w:r>
          </w:p>
        </w:tc>
      </w:tr>
      <w:tr w:rsidR="00735B90" w:rsidRPr="003F379F" w:rsidTr="00B73108">
        <w:tc>
          <w:tcPr>
            <w:tcW w:w="2605" w:type="dxa"/>
          </w:tcPr>
          <w:p w:rsidR="00735B90" w:rsidRPr="003F379F" w:rsidRDefault="00735B90" w:rsidP="00B73108">
            <w:r w:rsidRPr="003F379F">
              <w:t>LPA</w:t>
            </w:r>
          </w:p>
        </w:tc>
        <w:tc>
          <w:tcPr>
            <w:tcW w:w="2605" w:type="dxa"/>
          </w:tcPr>
          <w:p w:rsidR="00735B90" w:rsidRPr="003F379F" w:rsidRDefault="00735B90" w:rsidP="00B73108">
            <w:r>
              <w:t>6.00</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MPA</w:t>
            </w:r>
          </w:p>
        </w:tc>
        <w:tc>
          <w:tcPr>
            <w:tcW w:w="2605" w:type="dxa"/>
          </w:tcPr>
          <w:p w:rsidR="00735B90" w:rsidRPr="003F379F" w:rsidRDefault="00735B90" w:rsidP="00B73108">
            <w:r>
              <w:t>8.22</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HPA</w:t>
            </w:r>
          </w:p>
        </w:tc>
        <w:tc>
          <w:tcPr>
            <w:tcW w:w="2605" w:type="dxa"/>
          </w:tcPr>
          <w:p w:rsidR="00735B90" w:rsidRPr="003F379F" w:rsidRDefault="00735B90" w:rsidP="00B73108">
            <w:r>
              <w:t>12.80</w:t>
            </w:r>
          </w:p>
        </w:tc>
        <w:tc>
          <w:tcPr>
            <w:tcW w:w="2605" w:type="dxa"/>
          </w:tcPr>
          <w:p w:rsidR="00735B90" w:rsidRPr="003F379F" w:rsidRDefault="00735B90" w:rsidP="00B73108">
            <w:r>
              <w:t>-</w:t>
            </w:r>
          </w:p>
        </w:tc>
      </w:tr>
    </w:tbl>
    <w:p w:rsidR="00735B90" w:rsidRPr="003F379F" w:rsidRDefault="00735B90" w:rsidP="00735B90"/>
    <w:tbl>
      <w:tblPr>
        <w:tblStyle w:val="TableGrid"/>
        <w:tblW w:w="0" w:type="auto"/>
        <w:tblLook w:val="04A0" w:firstRow="1" w:lastRow="0" w:firstColumn="1" w:lastColumn="0" w:noHBand="0" w:noVBand="1"/>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r w:rsidRPr="003F379F">
              <w:rPr>
                <w:b/>
              </w:rPr>
              <w:t>Mathematics</w:t>
            </w:r>
          </w:p>
        </w:tc>
        <w:tc>
          <w:tcPr>
            <w:tcW w:w="2605" w:type="dxa"/>
          </w:tcPr>
          <w:p w:rsidR="00735B90" w:rsidRPr="003F379F" w:rsidRDefault="00735B90" w:rsidP="00B73108">
            <w:r w:rsidRPr="003F379F">
              <w:t>8.33</w:t>
            </w:r>
          </w:p>
        </w:tc>
        <w:tc>
          <w:tcPr>
            <w:tcW w:w="2605" w:type="dxa"/>
          </w:tcPr>
          <w:p w:rsidR="00735B90" w:rsidRPr="003F379F" w:rsidRDefault="00735B90" w:rsidP="00B73108">
            <w:r w:rsidRPr="003F379F">
              <w:t>9.75 (all other)</w:t>
            </w:r>
          </w:p>
        </w:tc>
      </w:tr>
      <w:tr w:rsidR="00735B90" w:rsidRPr="003F379F" w:rsidTr="00B73108">
        <w:tc>
          <w:tcPr>
            <w:tcW w:w="2605" w:type="dxa"/>
          </w:tcPr>
          <w:p w:rsidR="00735B90" w:rsidRPr="003F379F" w:rsidRDefault="00735B90" w:rsidP="00B73108">
            <w:r w:rsidRPr="003F379F">
              <w:t>LPA</w:t>
            </w:r>
          </w:p>
        </w:tc>
        <w:tc>
          <w:tcPr>
            <w:tcW w:w="2605" w:type="dxa"/>
          </w:tcPr>
          <w:p w:rsidR="00735B90" w:rsidRPr="003F379F" w:rsidRDefault="00735B90" w:rsidP="00B73108">
            <w:r>
              <w:t>5.00</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MPA</w:t>
            </w:r>
          </w:p>
        </w:tc>
        <w:tc>
          <w:tcPr>
            <w:tcW w:w="2605" w:type="dxa"/>
          </w:tcPr>
          <w:p w:rsidR="00735B90" w:rsidRPr="003F379F" w:rsidRDefault="00735B90" w:rsidP="00B73108">
            <w:r>
              <w:t>7.11</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HPA</w:t>
            </w:r>
          </w:p>
        </w:tc>
        <w:tc>
          <w:tcPr>
            <w:tcW w:w="2605" w:type="dxa"/>
          </w:tcPr>
          <w:p w:rsidR="00735B90" w:rsidRPr="003F379F" w:rsidRDefault="00735B90" w:rsidP="00B73108">
            <w:r>
              <w:t>13.20</w:t>
            </w:r>
          </w:p>
        </w:tc>
        <w:tc>
          <w:tcPr>
            <w:tcW w:w="2605" w:type="dxa"/>
          </w:tcPr>
          <w:p w:rsidR="00735B90" w:rsidRPr="003F379F" w:rsidRDefault="00735B90" w:rsidP="00B73108">
            <w:r>
              <w:t>-</w:t>
            </w:r>
          </w:p>
        </w:tc>
      </w:tr>
    </w:tbl>
    <w:p w:rsidR="00735B90" w:rsidRPr="003F379F" w:rsidRDefault="00735B90" w:rsidP="00735B90"/>
    <w:tbl>
      <w:tblPr>
        <w:tblStyle w:val="TableGrid"/>
        <w:tblW w:w="0" w:type="auto"/>
        <w:tblLook w:val="04A0" w:firstRow="1" w:lastRow="0" w:firstColumn="1" w:lastColumn="0" w:noHBand="0" w:noVBand="1"/>
      </w:tblPr>
      <w:tblGrid>
        <w:gridCol w:w="2605"/>
        <w:gridCol w:w="2605"/>
        <w:gridCol w:w="2605"/>
      </w:tblGrid>
      <w:tr w:rsidR="00735B90" w:rsidRPr="003F379F" w:rsidTr="00B73108">
        <w:tc>
          <w:tcPr>
            <w:tcW w:w="2605" w:type="dxa"/>
          </w:tcPr>
          <w:p w:rsidR="00735B90" w:rsidRPr="003F379F" w:rsidRDefault="00735B90" w:rsidP="00B73108">
            <w:pPr>
              <w:rPr>
                <w:b/>
              </w:rPr>
            </w:pPr>
          </w:p>
        </w:tc>
        <w:tc>
          <w:tcPr>
            <w:tcW w:w="2605" w:type="dxa"/>
          </w:tcPr>
          <w:p w:rsidR="00735B90" w:rsidRPr="003F379F" w:rsidRDefault="00735B90" w:rsidP="00B73108">
            <w:pPr>
              <w:rPr>
                <w:b/>
              </w:rPr>
            </w:pPr>
          </w:p>
        </w:tc>
        <w:tc>
          <w:tcPr>
            <w:tcW w:w="2605" w:type="dxa"/>
          </w:tcPr>
          <w:p w:rsidR="00735B90" w:rsidRPr="003F379F" w:rsidRDefault="00735B90" w:rsidP="00B73108">
            <w:pPr>
              <w:rPr>
                <w:b/>
              </w:rPr>
            </w:pPr>
            <w:r w:rsidRPr="003F379F">
              <w:rPr>
                <w:b/>
              </w:rPr>
              <w:t>National</w:t>
            </w:r>
          </w:p>
        </w:tc>
      </w:tr>
      <w:tr w:rsidR="00735B90" w:rsidRPr="003F379F" w:rsidTr="00B73108">
        <w:tc>
          <w:tcPr>
            <w:tcW w:w="2605" w:type="dxa"/>
          </w:tcPr>
          <w:p w:rsidR="00735B90" w:rsidRPr="003F379F" w:rsidRDefault="00735B90" w:rsidP="00B73108">
            <w:pPr>
              <w:rPr>
                <w:b/>
              </w:rPr>
            </w:pPr>
            <w:r w:rsidRPr="003F379F">
              <w:rPr>
                <w:b/>
              </w:rPr>
              <w:t>Ebacc</w:t>
            </w:r>
          </w:p>
        </w:tc>
        <w:tc>
          <w:tcPr>
            <w:tcW w:w="2605" w:type="dxa"/>
          </w:tcPr>
          <w:p w:rsidR="00735B90" w:rsidRPr="003F379F" w:rsidRDefault="00735B90" w:rsidP="00B73108">
            <w:r w:rsidRPr="003F379F">
              <w:t>11.56</w:t>
            </w:r>
          </w:p>
        </w:tc>
        <w:tc>
          <w:tcPr>
            <w:tcW w:w="2605" w:type="dxa"/>
          </w:tcPr>
          <w:p w:rsidR="00735B90" w:rsidRPr="003F379F" w:rsidRDefault="00735B90" w:rsidP="00B73108">
            <w:r w:rsidRPr="003F379F">
              <w:t>14.57 (all other)</w:t>
            </w:r>
          </w:p>
        </w:tc>
      </w:tr>
      <w:tr w:rsidR="00735B90" w:rsidRPr="003F379F" w:rsidTr="00B73108">
        <w:tc>
          <w:tcPr>
            <w:tcW w:w="2605" w:type="dxa"/>
          </w:tcPr>
          <w:p w:rsidR="00735B90" w:rsidRPr="003F379F" w:rsidRDefault="00735B90" w:rsidP="00B73108">
            <w:r w:rsidRPr="003F379F">
              <w:t>LPA</w:t>
            </w:r>
          </w:p>
        </w:tc>
        <w:tc>
          <w:tcPr>
            <w:tcW w:w="2605" w:type="dxa"/>
          </w:tcPr>
          <w:p w:rsidR="00735B90" w:rsidRPr="003F379F" w:rsidRDefault="00735B90" w:rsidP="00B73108">
            <w:r>
              <w:t>5.50</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MPA</w:t>
            </w:r>
          </w:p>
        </w:tc>
        <w:tc>
          <w:tcPr>
            <w:tcW w:w="2605" w:type="dxa"/>
          </w:tcPr>
          <w:p w:rsidR="00735B90" w:rsidRPr="003F379F" w:rsidRDefault="00735B90" w:rsidP="00B73108">
            <w:r>
              <w:t>9.67</w:t>
            </w:r>
          </w:p>
        </w:tc>
        <w:tc>
          <w:tcPr>
            <w:tcW w:w="2605" w:type="dxa"/>
          </w:tcPr>
          <w:p w:rsidR="00735B90" w:rsidRPr="003F379F" w:rsidRDefault="00735B90" w:rsidP="00B73108">
            <w:r>
              <w:t>-</w:t>
            </w:r>
          </w:p>
        </w:tc>
      </w:tr>
      <w:tr w:rsidR="00735B90" w:rsidRPr="003F379F" w:rsidTr="00B73108">
        <w:tc>
          <w:tcPr>
            <w:tcW w:w="2605" w:type="dxa"/>
          </w:tcPr>
          <w:p w:rsidR="00735B90" w:rsidRPr="003F379F" w:rsidRDefault="00735B90" w:rsidP="00B73108">
            <w:r w:rsidRPr="003F379F">
              <w:t>HPA</w:t>
            </w:r>
          </w:p>
        </w:tc>
        <w:tc>
          <w:tcPr>
            <w:tcW w:w="2605" w:type="dxa"/>
          </w:tcPr>
          <w:p w:rsidR="00735B90" w:rsidRPr="003F379F" w:rsidRDefault="00735B90" w:rsidP="00B73108">
            <w:r>
              <w:t>19.80</w:t>
            </w:r>
          </w:p>
        </w:tc>
        <w:tc>
          <w:tcPr>
            <w:tcW w:w="2605" w:type="dxa"/>
          </w:tcPr>
          <w:p w:rsidR="00735B90" w:rsidRPr="003F379F" w:rsidRDefault="00735B90" w:rsidP="00B73108">
            <w:r>
              <w:t>-</w:t>
            </w:r>
          </w:p>
        </w:tc>
      </w:tr>
    </w:tbl>
    <w:p w:rsidR="00735B90" w:rsidRPr="003F379F" w:rsidRDefault="00735B90" w:rsidP="00735B90">
      <w:pPr>
        <w:rPr>
          <w:i/>
        </w:rPr>
      </w:pPr>
    </w:p>
    <w:p w:rsidR="009E33F3" w:rsidRPr="00EB11B4" w:rsidRDefault="009E33F3" w:rsidP="00735B90">
      <w:pPr>
        <w:rPr>
          <w:b/>
          <w:u w:val="single"/>
        </w:rPr>
      </w:pPr>
    </w:p>
    <w:sectPr w:rsidR="009E33F3" w:rsidRPr="00EB11B4" w:rsidSect="002A1C19">
      <w:pgSz w:w="11906" w:h="16838"/>
      <w:pgMar w:top="851"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67" w:rsidRDefault="00F63C67" w:rsidP="00F63C67">
      <w:r>
        <w:separator/>
      </w:r>
    </w:p>
  </w:endnote>
  <w:endnote w:type="continuationSeparator" w:id="0">
    <w:p w:rsidR="00F63C67" w:rsidRDefault="00F63C67" w:rsidP="00F6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329551"/>
      <w:docPartObj>
        <w:docPartGallery w:val="Page Numbers (Bottom of Page)"/>
        <w:docPartUnique/>
      </w:docPartObj>
    </w:sdtPr>
    <w:sdtEndPr>
      <w:rPr>
        <w:noProof/>
        <w:sz w:val="16"/>
        <w:szCs w:val="16"/>
      </w:rPr>
    </w:sdtEndPr>
    <w:sdtContent>
      <w:p w:rsidR="00F63C67" w:rsidRPr="00F63C67" w:rsidRDefault="00F63C67">
        <w:pPr>
          <w:pStyle w:val="Footer"/>
          <w:jc w:val="right"/>
          <w:rPr>
            <w:sz w:val="16"/>
            <w:szCs w:val="16"/>
          </w:rPr>
        </w:pPr>
        <w:r w:rsidRPr="00F63C67">
          <w:rPr>
            <w:sz w:val="16"/>
            <w:szCs w:val="16"/>
          </w:rPr>
          <w:fldChar w:fldCharType="begin"/>
        </w:r>
        <w:r w:rsidRPr="00F63C67">
          <w:rPr>
            <w:sz w:val="16"/>
            <w:szCs w:val="16"/>
          </w:rPr>
          <w:instrText xml:space="preserve"> PAGE   \* MERGEFORMAT </w:instrText>
        </w:r>
        <w:r w:rsidRPr="00F63C67">
          <w:rPr>
            <w:sz w:val="16"/>
            <w:szCs w:val="16"/>
          </w:rPr>
          <w:fldChar w:fldCharType="separate"/>
        </w:r>
        <w:r w:rsidR="00735B90">
          <w:rPr>
            <w:noProof/>
            <w:sz w:val="16"/>
            <w:szCs w:val="16"/>
          </w:rPr>
          <w:t>2</w:t>
        </w:r>
        <w:r w:rsidRPr="00F63C67">
          <w:rPr>
            <w:noProof/>
            <w:sz w:val="16"/>
            <w:szCs w:val="16"/>
          </w:rPr>
          <w:fldChar w:fldCharType="end"/>
        </w:r>
      </w:p>
    </w:sdtContent>
  </w:sdt>
  <w:p w:rsidR="00F63C67" w:rsidRDefault="00F6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67" w:rsidRDefault="00F63C67" w:rsidP="00F63C67">
      <w:r>
        <w:separator/>
      </w:r>
    </w:p>
  </w:footnote>
  <w:footnote w:type="continuationSeparator" w:id="0">
    <w:p w:rsidR="00F63C67" w:rsidRDefault="00F63C67" w:rsidP="00F63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02D"/>
    <w:multiLevelType w:val="hybridMultilevel"/>
    <w:tmpl w:val="923C8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D1441"/>
    <w:multiLevelType w:val="hybridMultilevel"/>
    <w:tmpl w:val="7D9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3DC2"/>
    <w:multiLevelType w:val="hybridMultilevel"/>
    <w:tmpl w:val="D768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42295"/>
    <w:multiLevelType w:val="hybridMultilevel"/>
    <w:tmpl w:val="B374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74051"/>
    <w:multiLevelType w:val="hybridMultilevel"/>
    <w:tmpl w:val="66F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6308"/>
    <w:multiLevelType w:val="hybridMultilevel"/>
    <w:tmpl w:val="8AAA2A1A"/>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01EB7"/>
    <w:multiLevelType w:val="hybridMultilevel"/>
    <w:tmpl w:val="25B2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0667"/>
    <w:multiLevelType w:val="hybridMultilevel"/>
    <w:tmpl w:val="866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71A3B"/>
    <w:multiLevelType w:val="hybridMultilevel"/>
    <w:tmpl w:val="EFE2430E"/>
    <w:lvl w:ilvl="0" w:tplc="CE2049DA">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5129F"/>
    <w:multiLevelType w:val="hybridMultilevel"/>
    <w:tmpl w:val="116A85AC"/>
    <w:lvl w:ilvl="0" w:tplc="C666D37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D46BD"/>
    <w:multiLevelType w:val="hybridMultilevel"/>
    <w:tmpl w:val="F3628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66D43"/>
    <w:multiLevelType w:val="hybridMultilevel"/>
    <w:tmpl w:val="023032C2"/>
    <w:lvl w:ilvl="0" w:tplc="F6608CC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E54AF"/>
    <w:multiLevelType w:val="hybridMultilevel"/>
    <w:tmpl w:val="12DC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32FD5"/>
    <w:multiLevelType w:val="hybridMultilevel"/>
    <w:tmpl w:val="5BCA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2"/>
  </w:num>
  <w:num w:numId="5">
    <w:abstractNumId w:val="6"/>
  </w:num>
  <w:num w:numId="6">
    <w:abstractNumId w:val="3"/>
  </w:num>
  <w:num w:numId="7">
    <w:abstractNumId w:val="13"/>
  </w:num>
  <w:num w:numId="8">
    <w:abstractNumId w:val="7"/>
  </w:num>
  <w:num w:numId="9">
    <w:abstractNumId w:val="4"/>
  </w:num>
  <w:num w:numId="10">
    <w:abstractNumId w:val="12"/>
  </w:num>
  <w:num w:numId="11">
    <w:abstractNumId w:val="1"/>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CD"/>
    <w:rsid w:val="0000197F"/>
    <w:rsid w:val="0000223E"/>
    <w:rsid w:val="00002AE7"/>
    <w:rsid w:val="000033B2"/>
    <w:rsid w:val="00003BCF"/>
    <w:rsid w:val="000242C5"/>
    <w:rsid w:val="000269C6"/>
    <w:rsid w:val="00034DF9"/>
    <w:rsid w:val="00037A1D"/>
    <w:rsid w:val="00042EC8"/>
    <w:rsid w:val="00047A22"/>
    <w:rsid w:val="00062934"/>
    <w:rsid w:val="000644AA"/>
    <w:rsid w:val="00074419"/>
    <w:rsid w:val="00093A67"/>
    <w:rsid w:val="000B54A7"/>
    <w:rsid w:val="000D7ABC"/>
    <w:rsid w:val="000F7609"/>
    <w:rsid w:val="00100CB5"/>
    <w:rsid w:val="0010492A"/>
    <w:rsid w:val="00107CDE"/>
    <w:rsid w:val="00135E3A"/>
    <w:rsid w:val="001365C8"/>
    <w:rsid w:val="00153DF8"/>
    <w:rsid w:val="0018401C"/>
    <w:rsid w:val="001B18FE"/>
    <w:rsid w:val="001C07B2"/>
    <w:rsid w:val="001D5309"/>
    <w:rsid w:val="00202F35"/>
    <w:rsid w:val="002051A2"/>
    <w:rsid w:val="0020752F"/>
    <w:rsid w:val="002177F8"/>
    <w:rsid w:val="00225202"/>
    <w:rsid w:val="00232A54"/>
    <w:rsid w:val="002345B4"/>
    <w:rsid w:val="00241472"/>
    <w:rsid w:val="002430F2"/>
    <w:rsid w:val="00250DD0"/>
    <w:rsid w:val="002676AB"/>
    <w:rsid w:val="00272F31"/>
    <w:rsid w:val="002733A0"/>
    <w:rsid w:val="0028278A"/>
    <w:rsid w:val="0028340A"/>
    <w:rsid w:val="002A1C19"/>
    <w:rsid w:val="002E4B31"/>
    <w:rsid w:val="002E5B8C"/>
    <w:rsid w:val="00303EBE"/>
    <w:rsid w:val="00345F10"/>
    <w:rsid w:val="0034636F"/>
    <w:rsid w:val="00367C87"/>
    <w:rsid w:val="00367CA0"/>
    <w:rsid w:val="0037302C"/>
    <w:rsid w:val="003748DC"/>
    <w:rsid w:val="003760E8"/>
    <w:rsid w:val="00376183"/>
    <w:rsid w:val="00376C2F"/>
    <w:rsid w:val="00384E68"/>
    <w:rsid w:val="003A071A"/>
    <w:rsid w:val="003B6BCC"/>
    <w:rsid w:val="003B78ED"/>
    <w:rsid w:val="003E21C1"/>
    <w:rsid w:val="003E55DF"/>
    <w:rsid w:val="0041261B"/>
    <w:rsid w:val="00460039"/>
    <w:rsid w:val="00461B8D"/>
    <w:rsid w:val="00470DB7"/>
    <w:rsid w:val="00473E0F"/>
    <w:rsid w:val="00493B62"/>
    <w:rsid w:val="004A4D36"/>
    <w:rsid w:val="004A5D40"/>
    <w:rsid w:val="004B36C0"/>
    <w:rsid w:val="004C4436"/>
    <w:rsid w:val="004D257A"/>
    <w:rsid w:val="004D4219"/>
    <w:rsid w:val="004D76A1"/>
    <w:rsid w:val="004E3EDB"/>
    <w:rsid w:val="004F13F3"/>
    <w:rsid w:val="005160CA"/>
    <w:rsid w:val="00535430"/>
    <w:rsid w:val="00537DE9"/>
    <w:rsid w:val="005401F5"/>
    <w:rsid w:val="005503E3"/>
    <w:rsid w:val="0055229E"/>
    <w:rsid w:val="00555C70"/>
    <w:rsid w:val="00577B0C"/>
    <w:rsid w:val="0058518A"/>
    <w:rsid w:val="00587017"/>
    <w:rsid w:val="00587920"/>
    <w:rsid w:val="005922D5"/>
    <w:rsid w:val="00596391"/>
    <w:rsid w:val="005A3B7B"/>
    <w:rsid w:val="005C0306"/>
    <w:rsid w:val="005C3631"/>
    <w:rsid w:val="005C5D6F"/>
    <w:rsid w:val="005C6AB4"/>
    <w:rsid w:val="005E2815"/>
    <w:rsid w:val="006146BD"/>
    <w:rsid w:val="00624239"/>
    <w:rsid w:val="0063629A"/>
    <w:rsid w:val="00652590"/>
    <w:rsid w:val="00661EA3"/>
    <w:rsid w:val="00662C62"/>
    <w:rsid w:val="006754F6"/>
    <w:rsid w:val="00692762"/>
    <w:rsid w:val="006A0651"/>
    <w:rsid w:val="006A2C0E"/>
    <w:rsid w:val="006A3835"/>
    <w:rsid w:val="006B0248"/>
    <w:rsid w:val="006C29F0"/>
    <w:rsid w:val="006D4760"/>
    <w:rsid w:val="006F7895"/>
    <w:rsid w:val="007111A2"/>
    <w:rsid w:val="00711BBB"/>
    <w:rsid w:val="00726239"/>
    <w:rsid w:val="00735B90"/>
    <w:rsid w:val="00744AC8"/>
    <w:rsid w:val="0075111D"/>
    <w:rsid w:val="00757E7F"/>
    <w:rsid w:val="00770B6C"/>
    <w:rsid w:val="007753B1"/>
    <w:rsid w:val="00783C68"/>
    <w:rsid w:val="007B3636"/>
    <w:rsid w:val="007D7C04"/>
    <w:rsid w:val="007E7151"/>
    <w:rsid w:val="007F2210"/>
    <w:rsid w:val="008334C3"/>
    <w:rsid w:val="00837442"/>
    <w:rsid w:val="00841250"/>
    <w:rsid w:val="008775B3"/>
    <w:rsid w:val="00887A8E"/>
    <w:rsid w:val="008A2427"/>
    <w:rsid w:val="008B2B2C"/>
    <w:rsid w:val="008C05E2"/>
    <w:rsid w:val="008C0B94"/>
    <w:rsid w:val="008C0F43"/>
    <w:rsid w:val="008C1797"/>
    <w:rsid w:val="008D76A5"/>
    <w:rsid w:val="008F15F4"/>
    <w:rsid w:val="00902FCB"/>
    <w:rsid w:val="00904873"/>
    <w:rsid w:val="00937F3C"/>
    <w:rsid w:val="009457C4"/>
    <w:rsid w:val="00951F0C"/>
    <w:rsid w:val="00963029"/>
    <w:rsid w:val="00964B07"/>
    <w:rsid w:val="00965679"/>
    <w:rsid w:val="00965C94"/>
    <w:rsid w:val="009741ED"/>
    <w:rsid w:val="00974F8C"/>
    <w:rsid w:val="00976301"/>
    <w:rsid w:val="009947E9"/>
    <w:rsid w:val="009974DE"/>
    <w:rsid w:val="00997F6F"/>
    <w:rsid w:val="009A2774"/>
    <w:rsid w:val="009B454B"/>
    <w:rsid w:val="009C5176"/>
    <w:rsid w:val="009D13BF"/>
    <w:rsid w:val="009E33F3"/>
    <w:rsid w:val="009F4287"/>
    <w:rsid w:val="00A0638C"/>
    <w:rsid w:val="00A3615F"/>
    <w:rsid w:val="00A64346"/>
    <w:rsid w:val="00A664A9"/>
    <w:rsid w:val="00A72169"/>
    <w:rsid w:val="00A759B7"/>
    <w:rsid w:val="00AA45DC"/>
    <w:rsid w:val="00AC0070"/>
    <w:rsid w:val="00AD2BE2"/>
    <w:rsid w:val="00AE50B5"/>
    <w:rsid w:val="00AF0D15"/>
    <w:rsid w:val="00AF469C"/>
    <w:rsid w:val="00AF5FEF"/>
    <w:rsid w:val="00B032AD"/>
    <w:rsid w:val="00B079BF"/>
    <w:rsid w:val="00B10641"/>
    <w:rsid w:val="00B136A1"/>
    <w:rsid w:val="00B31B58"/>
    <w:rsid w:val="00B329DE"/>
    <w:rsid w:val="00B352B6"/>
    <w:rsid w:val="00B504FE"/>
    <w:rsid w:val="00B53785"/>
    <w:rsid w:val="00B660F9"/>
    <w:rsid w:val="00B76C90"/>
    <w:rsid w:val="00B9022B"/>
    <w:rsid w:val="00BB503F"/>
    <w:rsid w:val="00BC0213"/>
    <w:rsid w:val="00BC46C6"/>
    <w:rsid w:val="00BE7345"/>
    <w:rsid w:val="00C13946"/>
    <w:rsid w:val="00C20F8A"/>
    <w:rsid w:val="00C215AA"/>
    <w:rsid w:val="00C3507F"/>
    <w:rsid w:val="00C350BF"/>
    <w:rsid w:val="00C42039"/>
    <w:rsid w:val="00C508A0"/>
    <w:rsid w:val="00C828C5"/>
    <w:rsid w:val="00C86673"/>
    <w:rsid w:val="00C9552F"/>
    <w:rsid w:val="00CB6937"/>
    <w:rsid w:val="00CC2A3C"/>
    <w:rsid w:val="00CC4889"/>
    <w:rsid w:val="00CD6CF2"/>
    <w:rsid w:val="00CE0DA3"/>
    <w:rsid w:val="00CE420B"/>
    <w:rsid w:val="00CF4903"/>
    <w:rsid w:val="00D04A4C"/>
    <w:rsid w:val="00D17973"/>
    <w:rsid w:val="00D41069"/>
    <w:rsid w:val="00D64210"/>
    <w:rsid w:val="00D765F7"/>
    <w:rsid w:val="00D94D28"/>
    <w:rsid w:val="00DA5717"/>
    <w:rsid w:val="00DB001F"/>
    <w:rsid w:val="00DB07CA"/>
    <w:rsid w:val="00DB0EB2"/>
    <w:rsid w:val="00DC468E"/>
    <w:rsid w:val="00DD1DE0"/>
    <w:rsid w:val="00DD5ED7"/>
    <w:rsid w:val="00DE64DC"/>
    <w:rsid w:val="00E00D12"/>
    <w:rsid w:val="00E020D9"/>
    <w:rsid w:val="00E12448"/>
    <w:rsid w:val="00E175AA"/>
    <w:rsid w:val="00E17C69"/>
    <w:rsid w:val="00E22282"/>
    <w:rsid w:val="00E26A46"/>
    <w:rsid w:val="00E30AB7"/>
    <w:rsid w:val="00E40729"/>
    <w:rsid w:val="00E51447"/>
    <w:rsid w:val="00E70933"/>
    <w:rsid w:val="00E7196B"/>
    <w:rsid w:val="00E71AB2"/>
    <w:rsid w:val="00E73AE7"/>
    <w:rsid w:val="00E746DC"/>
    <w:rsid w:val="00E769CD"/>
    <w:rsid w:val="00E80F24"/>
    <w:rsid w:val="00E83F7D"/>
    <w:rsid w:val="00E87DB5"/>
    <w:rsid w:val="00EA534B"/>
    <w:rsid w:val="00EC6F03"/>
    <w:rsid w:val="00ED48B6"/>
    <w:rsid w:val="00EF2151"/>
    <w:rsid w:val="00EF24D9"/>
    <w:rsid w:val="00EF4D53"/>
    <w:rsid w:val="00F10A6C"/>
    <w:rsid w:val="00F239BB"/>
    <w:rsid w:val="00F62D70"/>
    <w:rsid w:val="00F63BBA"/>
    <w:rsid w:val="00F63C67"/>
    <w:rsid w:val="00F70F81"/>
    <w:rsid w:val="00F838DD"/>
    <w:rsid w:val="00F8767C"/>
    <w:rsid w:val="00FA299F"/>
    <w:rsid w:val="00FA372C"/>
    <w:rsid w:val="00FA5D56"/>
    <w:rsid w:val="00FC05A8"/>
    <w:rsid w:val="00FC3999"/>
    <w:rsid w:val="00FF3A0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159C"/>
  <w15:docId w15:val="{5F786D8E-5F66-4556-90A6-4FA75872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C04"/>
    <w:rPr>
      <w:color w:val="0000FF" w:themeColor="hyperlink"/>
      <w:u w:val="single"/>
    </w:rPr>
  </w:style>
  <w:style w:type="character" w:styleId="FollowedHyperlink">
    <w:name w:val="FollowedHyperlink"/>
    <w:basedOn w:val="DefaultParagraphFont"/>
    <w:uiPriority w:val="99"/>
    <w:semiHidden/>
    <w:unhideWhenUsed/>
    <w:rsid w:val="007D7C04"/>
    <w:rPr>
      <w:color w:val="800080" w:themeColor="followedHyperlink"/>
      <w:u w:val="single"/>
    </w:rPr>
  </w:style>
  <w:style w:type="table" w:styleId="TableGrid">
    <w:name w:val="Table Grid"/>
    <w:basedOn w:val="TableNormal"/>
    <w:uiPriority w:val="59"/>
    <w:rsid w:val="00107C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033B2"/>
    <w:pPr>
      <w:ind w:left="720"/>
      <w:contextualSpacing/>
    </w:pPr>
  </w:style>
  <w:style w:type="paragraph" w:styleId="BalloonText">
    <w:name w:val="Balloon Text"/>
    <w:basedOn w:val="Normal"/>
    <w:link w:val="BalloonTextChar"/>
    <w:uiPriority w:val="99"/>
    <w:semiHidden/>
    <w:unhideWhenUsed/>
    <w:rsid w:val="008D76A5"/>
    <w:rPr>
      <w:rFonts w:ascii="Tahoma" w:hAnsi="Tahoma" w:cs="Tahoma"/>
      <w:sz w:val="16"/>
      <w:szCs w:val="16"/>
    </w:rPr>
  </w:style>
  <w:style w:type="character" w:customStyle="1" w:styleId="BalloonTextChar">
    <w:name w:val="Balloon Text Char"/>
    <w:basedOn w:val="DefaultParagraphFont"/>
    <w:link w:val="BalloonText"/>
    <w:uiPriority w:val="99"/>
    <w:semiHidden/>
    <w:rsid w:val="008D76A5"/>
    <w:rPr>
      <w:rFonts w:ascii="Tahoma" w:hAnsi="Tahoma" w:cs="Tahoma"/>
      <w:sz w:val="16"/>
      <w:szCs w:val="16"/>
    </w:rPr>
  </w:style>
  <w:style w:type="character" w:customStyle="1" w:styleId="apple-converted-space">
    <w:name w:val="apple-converted-space"/>
    <w:basedOn w:val="DefaultParagraphFont"/>
    <w:rsid w:val="00100CB5"/>
  </w:style>
  <w:style w:type="paragraph" w:styleId="Header">
    <w:name w:val="header"/>
    <w:basedOn w:val="Normal"/>
    <w:link w:val="HeaderChar"/>
    <w:uiPriority w:val="99"/>
    <w:unhideWhenUsed/>
    <w:rsid w:val="00F63C67"/>
    <w:pPr>
      <w:tabs>
        <w:tab w:val="center" w:pos="4513"/>
        <w:tab w:val="right" w:pos="9026"/>
      </w:tabs>
    </w:pPr>
  </w:style>
  <w:style w:type="character" w:customStyle="1" w:styleId="HeaderChar">
    <w:name w:val="Header Char"/>
    <w:basedOn w:val="DefaultParagraphFont"/>
    <w:link w:val="Header"/>
    <w:uiPriority w:val="99"/>
    <w:rsid w:val="00F63C67"/>
  </w:style>
  <w:style w:type="paragraph" w:styleId="Footer">
    <w:name w:val="footer"/>
    <w:basedOn w:val="Normal"/>
    <w:link w:val="FooterChar"/>
    <w:uiPriority w:val="99"/>
    <w:unhideWhenUsed/>
    <w:rsid w:val="00F63C67"/>
    <w:pPr>
      <w:tabs>
        <w:tab w:val="center" w:pos="4513"/>
        <w:tab w:val="right" w:pos="9026"/>
      </w:tabs>
    </w:pPr>
  </w:style>
  <w:style w:type="character" w:customStyle="1" w:styleId="FooterChar">
    <w:name w:val="Footer Char"/>
    <w:basedOn w:val="DefaultParagraphFont"/>
    <w:link w:val="Footer"/>
    <w:uiPriority w:val="99"/>
    <w:rsid w:val="00F6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5403">
      <w:bodyDiv w:val="1"/>
      <w:marLeft w:val="0"/>
      <w:marRight w:val="0"/>
      <w:marTop w:val="0"/>
      <w:marBottom w:val="0"/>
      <w:divBdr>
        <w:top w:val="none" w:sz="0" w:space="0" w:color="auto"/>
        <w:left w:val="none" w:sz="0" w:space="0" w:color="auto"/>
        <w:bottom w:val="none" w:sz="0" w:space="0" w:color="auto"/>
        <w:right w:val="none" w:sz="0" w:space="0" w:color="auto"/>
      </w:divBdr>
      <w:divsChild>
        <w:div w:id="1155146418">
          <w:marLeft w:val="0"/>
          <w:marRight w:val="0"/>
          <w:marTop w:val="0"/>
          <w:marBottom w:val="0"/>
          <w:divBdr>
            <w:top w:val="none" w:sz="0" w:space="0" w:color="auto"/>
            <w:left w:val="none" w:sz="0" w:space="0" w:color="auto"/>
            <w:bottom w:val="none" w:sz="0" w:space="0" w:color="auto"/>
            <w:right w:val="none" w:sz="0" w:space="0" w:color="auto"/>
          </w:divBdr>
        </w:div>
        <w:div w:id="189611644">
          <w:marLeft w:val="0"/>
          <w:marRight w:val="0"/>
          <w:marTop w:val="0"/>
          <w:marBottom w:val="0"/>
          <w:divBdr>
            <w:top w:val="none" w:sz="0" w:space="0" w:color="auto"/>
            <w:left w:val="none" w:sz="0" w:space="0" w:color="auto"/>
            <w:bottom w:val="none" w:sz="0" w:space="0" w:color="auto"/>
            <w:right w:val="none" w:sz="0" w:space="0" w:color="auto"/>
          </w:divBdr>
        </w:div>
        <w:div w:id="623466147">
          <w:marLeft w:val="0"/>
          <w:marRight w:val="0"/>
          <w:marTop w:val="0"/>
          <w:marBottom w:val="0"/>
          <w:divBdr>
            <w:top w:val="none" w:sz="0" w:space="0" w:color="auto"/>
            <w:left w:val="none" w:sz="0" w:space="0" w:color="auto"/>
            <w:bottom w:val="none" w:sz="0" w:space="0" w:color="auto"/>
            <w:right w:val="none" w:sz="0" w:space="0" w:color="auto"/>
          </w:divBdr>
        </w:div>
        <w:div w:id="1151674355">
          <w:marLeft w:val="0"/>
          <w:marRight w:val="0"/>
          <w:marTop w:val="0"/>
          <w:marBottom w:val="0"/>
          <w:divBdr>
            <w:top w:val="none" w:sz="0" w:space="0" w:color="auto"/>
            <w:left w:val="none" w:sz="0" w:space="0" w:color="auto"/>
            <w:bottom w:val="none" w:sz="0" w:space="0" w:color="auto"/>
            <w:right w:val="none" w:sz="0" w:space="0" w:color="auto"/>
          </w:divBdr>
        </w:div>
      </w:divsChild>
    </w:div>
    <w:div w:id="688213671">
      <w:bodyDiv w:val="1"/>
      <w:marLeft w:val="0"/>
      <w:marRight w:val="0"/>
      <w:marTop w:val="0"/>
      <w:marBottom w:val="0"/>
      <w:divBdr>
        <w:top w:val="none" w:sz="0" w:space="0" w:color="auto"/>
        <w:left w:val="none" w:sz="0" w:space="0" w:color="auto"/>
        <w:bottom w:val="none" w:sz="0" w:space="0" w:color="auto"/>
        <w:right w:val="none" w:sz="0" w:space="0" w:color="auto"/>
      </w:divBdr>
    </w:div>
    <w:div w:id="1202014068">
      <w:bodyDiv w:val="1"/>
      <w:marLeft w:val="0"/>
      <w:marRight w:val="0"/>
      <w:marTop w:val="0"/>
      <w:marBottom w:val="0"/>
      <w:divBdr>
        <w:top w:val="none" w:sz="0" w:space="0" w:color="auto"/>
        <w:left w:val="none" w:sz="0" w:space="0" w:color="auto"/>
        <w:bottom w:val="none" w:sz="0" w:space="0" w:color="auto"/>
        <w:right w:val="none" w:sz="0" w:space="0" w:color="auto"/>
      </w:divBdr>
    </w:div>
    <w:div w:id="12147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llyer@gillotts.org.uk" TargetMode="External"/><Relationship Id="rId13" Type="http://schemas.openxmlformats.org/officeDocument/2006/relationships/hyperlink" Target="http://www.gillotts.oxon.sch.uk" TargetMode="Externa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smith@gillotts.org.uk" TargetMode="External"/><Relationship Id="rId12" Type="http://schemas.openxmlformats.org/officeDocument/2006/relationships/hyperlink" Target="http://www.gillotts.oxon.sch.uk"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re-school-performance.service.gov.uk/"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gillotts.oxon.sch.uk"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gillott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F0B652AF</Template>
  <TotalTime>0</TotalTime>
  <Pages>15</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cp:lastPrinted>2015-05-27T08:28:00Z</cp:lastPrinted>
  <dcterms:created xsi:type="dcterms:W3CDTF">2019-03-11T09:40:00Z</dcterms:created>
  <dcterms:modified xsi:type="dcterms:W3CDTF">2019-03-11T09:40:00Z</dcterms:modified>
</cp:coreProperties>
</file>